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2.png" ContentType="image/png"/>
  <Override PartName="/word/media/rId31.png" ContentType="image/png"/>
  <Override PartName="/word/media/rId39.png" ContentType="image/png"/>
  <Override PartName="/word/media/rId83.png" ContentType="image/png"/>
  <Override PartName="/word/media/rId66.png" ContentType="image/png"/>
  <Override PartName="/word/media/rId65.png" ContentType="image/png"/>
  <Override PartName="/word/media/rId96.png" ContentType="image/png"/>
  <Override PartName="/word/media/rId72.png" ContentType="image/png"/>
  <Override PartName="/word/media/rId75.png" ContentType="image/png"/>
  <Override PartName="/word/media/rId74.png" ContentType="image/png"/>
  <Override PartName="/word/media/rId95.png" ContentType="image/png"/>
  <Override PartName="/word/media/rId68.png" ContentType="image/png"/>
  <Override PartName="/word/media/rId71.png" ContentType="image/png"/>
  <Override PartName="/word/media/rId60.png" ContentType="image/png"/>
  <Override PartName="/word/media/rId61.png" ContentType="image/png"/>
  <Override PartName="/word/media/rId100.png" ContentType="image/png"/>
  <Override PartName="/word/media/rId136.png" ContentType="image/png"/>
  <Override PartName="/word/media/rId135.png" ContentType="image/png"/>
  <Override PartName="/word/media/rId133.png" ContentType="image/png"/>
  <Override PartName="/word/media/rId132.png" ContentType="image/png"/>
  <Override PartName="/word/media/rId91.png" ContentType="image/png"/>
  <Override PartName="/word/media/rId92.png" ContentType="image/png"/>
  <Override PartName="/word/media/rId63.png" ContentType="image/png"/>
  <Override PartName="/word/media/rId56.png" ContentType="image/png"/>
  <Override PartName="/word/media/rId120.png" ContentType="image/png"/>
  <Override PartName="/word/media/rId138.png" ContentType="image/png"/>
  <Override PartName="/word/media/rId139.png" ContentType="image/png"/>
  <Override PartName="/word/media/rId98.png" ContentType="image/png"/>
  <Override PartName="/word/media/rId130.png" ContentType="image/png"/>
  <Override PartName="/word/media/rId129.png" ContentType="image/png"/>
  <Override PartName="/word/media/rId99.png" ContentType="image/png"/>
  <Override PartName="/word/media/rId141.png" ContentType="image/png"/>
  <Override PartName="/word/media/rId127.png" ContentType="image/png"/>
  <Override PartName="/word/media/image29.png" ContentType="image/png"/>
  <Override PartName="/word/media/image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t>
      </w: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r>
        <w:t xml:space="preserve">’</w:t>
      </w:r>
      <w:r>
        <w:t xml:space="preserve"> </w:t>
      </w:r>
      <w:r>
        <w:t xml:space="preserve">OR</w:t>
      </w:r>
      <w:r>
        <w:t xml:space="preserve"> </w:t>
      </w:r>
      <w:r>
        <w:t xml:space="preserve">‘</w:t>
      </w: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r>
        <w:t xml:space="preserve">’</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w:t>
      </w:r>
      <w:r>
        <w:rPr>
          <w:rStyle w:val="FootnoteReference"/>
        </w:rPr>
        <w:footnoteReference w:id="23"/>
      </w:r>
      <w:r>
        <w:t xml:space="preserve"> </w:t>
      </w:r>
      <w:r>
        <w:t xml:space="preserve">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4">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bl>
    <w:p>
      <w:pPr>
        <w:pStyle w:val="BodyText"/>
      </w:pPr>
      <w:r>
        <w:t xml:space="preserve"> </w:t>
      </w:r>
    </w:p>
    <w:p>
      <w:pPr>
        <w:pStyle w:val="Heading1"/>
      </w:pPr>
      <w:bookmarkStart w:id="25" w:name="acknowledgments"/>
      <w:r>
        <w:t xml:space="preserve">Acknowledgments</w:t>
      </w:r>
      <w:bookmarkEnd w:id="25"/>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support from Vancouver Island University, the University of British Columbia and the NSERC Canadian Graduate Scholarship Masters Award – thank you for supporting me as a master’s student.</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6" w:name="dedication"/>
      <w:r>
        <w:t xml:space="preserve">Dedication</w:t>
      </w:r>
      <w:bookmarkEnd w:id="26"/>
    </w:p>
    <w:p>
      <w:pPr>
        <w:pStyle w:val="FirstParagraph"/>
      </w:pPr>
      <w:r>
        <w:t xml:space="preserve">First, I dedicate this thesis to each person who reads it in its entirety.</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Cheers!</w:t>
      </w:r>
    </w:p>
    <w:p>
      <w:pPr>
        <w:pStyle w:val="Heading2"/>
      </w:pPr>
      <w:bookmarkStart w:id="27" w:name="introduction-background"/>
      <w:r>
        <w:t xml:space="preserve">Introduction &amp; background</w:t>
      </w:r>
      <w:bookmarkEnd w:id="27"/>
    </w:p>
    <w:p>
      <w:pPr>
        <w:pStyle w:val="Heading3"/>
      </w:pPr>
      <w:bookmarkStart w:id="28" w:name="X950a60ad65bf96ca879ca6f7ac714147c4499d1"/>
      <w:r>
        <w:t xml:space="preserve">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with runoff introducing terrestrial material, sediments, nutrients, and organic matter into surface waters</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While there are guidelines for radiological, chemical and physical parameters (e.g. removal of metals), the highest priority drinking water guidelines focus on the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BC, chlorination remains the most widely used method of disinfection, whether it is used alone or in combination with other treatment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Because drinking water treatment requirements vary with source water quality, there are source water quality guidelines in place in addition to treated drinking water quality guidelines</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creates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natural organic matter.</w:t>
      </w:r>
    </w:p>
    <w:p>
      <w:pPr>
        <w:pStyle w:val="BodyText"/>
      </w:pPr>
      <w:r>
        <w:t xml:space="preserve"> </w:t>
      </w:r>
    </w:p>
    <w:p>
      <w:pPr>
        <w:pStyle w:val="BodyText"/>
      </w:pPr>
      <w:r>
        <w:t xml:space="preserve">Aqueous natural organic matter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and therefore BC source drinking water quality guidelines include colour as an indicator of aqueous NOM</w:t>
      </w:r>
      <w:r>
        <w:t xml:space="preserve"> </w:t>
      </w:r>
      <w:r>
        <w:t xml:space="preserve">(British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Depending on infrastructure design and operation of a drinking water treatment plant, elevated levels of NOM in source water can increase coagulant demand which increases the production of sludge (to be disposed of) and promote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NOM reduces treatment effectiveness by interfering with ultraviolet (UV) disinfection and/or increasing chlorination demand; NOM can effect coagulation efficiency and oxidative processes; and because NOM promotes biological growth, it can lead to 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In addition to operational impediments, NOM is partly responsible for unintended chemical contaminants in treated drinking water. When source water is chlorinated, chemical reactions with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 number of chlorinated carbonaceous DBPs are included in Health Canada’s drinking water quality guidelines, and have maximum allowable concentrations in treated water due to their possible or known health affects (i.e., possible genotoxicity or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Heading4"/>
      </w:pPr>
      <w:bookmarkStart w:id="29" w:name="X2458352b66b8ecb7c67f987a899314109b31192"/>
      <w:r>
        <w:t xml:space="preserve">Source water considerations for Greater Victoria’s water supply areas</w:t>
      </w:r>
      <w:bookmarkEnd w:id="29"/>
    </w:p>
    <w:p>
      <w:pPr>
        <w:pStyle w:val="FirstParagraph"/>
      </w:pPr>
      <w:r>
        <w:t xml:space="preserve">The Capital Regional District (CRD), encompassing the southern tip of Vancouver Island (including Victoria) and the southern Gulf Islands, is committed to the multiple barrier approach to clean drinking water and has taken control of source water protection by purchasing and privatizing the water supply areas for Greater Victoria. Located on southeastern Vancouver Island, British Columbia, Canada,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includes most of the Leech River watershed (a major sub-catchment of the Sooke River watershed). In anticipation of future water demands, this area was designated as a supplemental water supply for Greater Victoria and is known as the Leech Water Supply Area (LWSA). In the future (possibly by 2050), water from the LWSA will be transferred through a diversion tunnel to supplement Sooke Reservoir, the primary drinking water supply (i.e., inter-basin transfer). Approximately 92% of the Leech River watershed above the point of diversion (Leech Tunnel) is protected as WSA.</w:t>
      </w:r>
    </w:p>
    <w:p>
      <w:pPr>
        <w:pStyle w:val="BodyText"/>
      </w:pPr>
      <w:r>
        <w:t xml:space="preserve"> </w:t>
      </w:r>
    </w:p>
    <w:p>
      <w:pPr>
        <w:pStyle w:val="BodyText"/>
      </w:pPr>
      <w:r>
        <w:t xml:space="preserve">Overall, the hydrology and water quality dynamics of the LWSA are poorly understood. In the mid-1980’s, some water was transferred from the Leech River into Deception Gulch and Reservoir (adjacent to but physically separated from Sooke Reservoir), and the mixing resulted in biological water quality problems that included odour and raised concerns about the operational usage of the existing tunnel [</w:t>
      </w:r>
      <w:r>
        <w:rPr>
          <w:i/>
        </w:rPr>
        <w:t xml:space="preserve">personal communication ?refs</w:t>
      </w:r>
      <w:r>
        <w:t xml:space="preserve">]. Before work is done on inter-basin transfers, the hydrology and water quality of the Leech River system need to be better understood.</w:t>
      </w:r>
    </w:p>
    <w:p>
      <w:pPr>
        <w:pStyle w:val="BodyText"/>
      </w:pPr>
      <w:r>
        <w:t xml:space="preserve"> </w:t>
      </w:r>
    </w:p>
    <w:p>
      <w:pPr>
        <w:pStyle w:val="BodyText"/>
      </w:pPr>
      <w:r>
        <w:t xml:space="preserve">The LWSA was privately managed forest land which was extensively harvested over the past 70 years (nearly 96% clearcut); as a result, a large portion of the WSA is densely forested with softwood stands less than 35 years of age as of 2020. The second growth forests of the LWSA are no longer managed for timber supply, but rather to improve and maintain drinking source water quality and to reduce the risk of landscape level wildfire. Due to prior harvest, reforestation and active fire suppression, forest fire fuels have accumulated and pose a threat if a fire occurs. In the Sooke WSA, the CRD implements forest treatments designed to foster healthy forest stands capable of reducing fire intensity, such as reducing fuel hazards and creating conditions that are safe for crews to action a fire. Similar preventative fire treatments may be applied in the LWSA prior to inter-basin transfers. Developing an understanding of baseline water quality dynamics and hydrologic forces in the LWSA will help to inform forest management strategies and evaluation of the effects of fire fuel management on water supply.</w:t>
      </w:r>
    </w:p>
    <w:p>
      <w:pPr>
        <w:pStyle w:val="Heading5"/>
      </w:pPr>
      <w:bookmarkStart w:id="30" w:name="leech-river-watershed"/>
      <w:r>
        <w:t xml:space="preserve">Leech River Watershed</w:t>
      </w:r>
      <w:bookmarkEnd w:id="30"/>
    </w:p>
    <w:p>
      <w:pPr>
        <w:pStyle w:val="FirstParagraph"/>
      </w:pPr>
      <w:r>
        <w:t xml:space="preserve">The Leech River watershed is a sub-catchment of the Sooke River watershed, the primary water supply for the Greater Victoria Area; the Leech River watershed is located west of Sooke Reservoir (Figure</w:t>
      </w:r>
      <w:r>
        <w:t xml:space="preserve"> </w:t>
      </w:r>
      <w:r>
        <w:t xml:space="preserve">1</w:t>
      </w:r>
      <w:r>
        <w:t xml:space="preserve">).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(~96 km</w:t>
      </w:r>
      <w:r>
        <w:rPr>
          <w:vertAlign w:val="superscript"/>
        </w:rPr>
        <w:t xml:space="preserve">2</w:t>
      </w:r>
      <w:r>
        <w:t xml:space="preserve">, elevation 215 to 870 m a.s.l).</w:t>
      </w:r>
    </w:p>
    <w:p>
      <w:pPr>
        <w:pStyle w:val="BodyText"/>
      </w:pPr>
      <w:r>
        <w:t xml:space="preserve"> </w:t>
      </w:r>
    </w:p>
    <w:p>
      <w:pPr>
        <w:pStyle w:val="CaptionedFigure"/>
      </w:pPr>
      <w:r>
        <w:drawing>
          <wp:inline>
            <wp:extent cx="5943600" cy="6281721"/>
            <wp:effectExtent b="0" l="0" r="0" t="0"/>
            <wp:docPr descr="Figure 1: 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1"/>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w:t>
      </w:r>
      <w:r>
        <w:t xml:space="preserve"> </w:t>
      </w:r>
      <w:r>
        <w:rPr>
          <w:i/>
        </w:rPr>
        <w:t xml:space="preserve">Overview of the Leech and Sooke Water Supply Areas (Greater Victoria, CRD), located on southeastern Vancouver Island, British Columbia, Canada. The overview (bottom) illustrates precipitation and an atmospheric river event common to the west coast. The map (top) was generated in QGIS, and the image of Canada (bottom) and inset of Vancouver Island are screenshots from the Windy app (Windy.com).</w:t>
      </w:r>
    </w:p>
    <w:p>
      <w:pPr>
        <w:pStyle w:val="BodyText"/>
      </w:pPr>
      <w:r>
        <w:t xml:space="preserve"> </w:t>
      </w:r>
    </w:p>
    <w:p>
      <w:pPr>
        <w:pStyle w:val="BodyText"/>
      </w:pPr>
      <w:r>
        <w:t xml:space="preserve">Hydrology and water quality monitoring programs for the Leech began in 2017, thus there is little historical data to describe hydrochemical dynamics in the Leech watershed.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BodyText"/>
      </w:pPr>
      <w:r>
        <w:t xml:space="preserve"> </w:t>
      </w:r>
    </w:p>
    <w:p>
      <w:pPr>
        <w:pStyle w:val="BodyText"/>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is rain (i.e., pluvial hydroclimatic regime) [@</w:t>
      </w:r>
      <w:r>
        <w:t xml:space="preserve"> </w:t>
      </w:r>
      <w:r>
        <w:rPr>
          <w:i/>
        </w:rPr>
        <w:t xml:space="preserve">refs</w:t>
      </w:r>
      <w:r>
        <w:t xml:space="preserve">]. The water year can be broadly divided into wet and dry seasons where approximately 90% of precipitation falls from October to April, and May through September are relatively dry [@</w:t>
      </w:r>
      <w:r>
        <w:t xml:space="preserve"> </w:t>
      </w:r>
      <w:r>
        <w:rPr>
          <w:i/>
        </w:rPr>
        <w:t xml:space="preserve">refs</w:t>
      </w:r>
      <w:r>
        <w:t xml:space="preserve">].</w:t>
      </w:r>
    </w:p>
    <w:p>
      <w:pPr>
        <w:pStyle w:val="Heading3"/>
      </w:pPr>
      <w:bookmarkStart w:id="32" w:name="research-questions-and-objectives"/>
      <w:r>
        <w:t xml:space="preserve">Research questions and objectives</w:t>
      </w:r>
      <w:bookmarkEnd w:id="32"/>
    </w:p>
    <w:p>
      <w:pPr>
        <w:pStyle w:val="FirstParagraph"/>
      </w:pPr>
      <w:r>
        <w:t xml:space="preserve">The provincial Drinking Water Protection Act and Drinking Water Protection Regulation frameworks were developed to implement Health Canada’s drinking water quality guidelines and set out requirements for drinking water operators &amp; suppliers to ensure the provision of safe drinking water (</w:t>
      </w:r>
      <w:r>
        <w:rPr>
          <w:i/>
        </w:rPr>
        <w:t xml:space="preserve">refs or link</w:t>
      </w:r>
      <w:r>
        <w:t xml:space="preserve">). Treatment of source water from the Greater Victoria Water Supply Area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 Understanding dynamics and variability of hydrochemistry in the LWSA is needed to anticipate possible treatment challenges that may accompany future inter-basin transfer from the LWSA.</w:t>
      </w:r>
    </w:p>
    <w:p>
      <w:pPr>
        <w:pStyle w:val="BodyText"/>
      </w:pPr>
      <w:r>
        <w:t xml:space="preserve">This Master of Science thesis research was conducted in partnership with the CRD and forWater Network in an effort to help characterize the Leech Water Supply Area while contributing to our understanding of variations in source water quality (primarily with respect to DOC and NOM) across nested catchments in a second growth forested watershed. This thesis tackled four research questions (RQ) and associated objectives:</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Each research question and objective is addressed in the following chapters.</w:t>
      </w:r>
    </w:p>
    <w:p>
      <w:pPr>
        <w:pStyle w:val="BodyText"/>
      </w:pPr>
      <w:r>
        <w:t xml:space="preserve">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2"/>
      </w:pPr>
      <w:bookmarkStart w:id="33" w:name="spatial-and-temporal-patterns-in-doc-nom"/>
      <w:r>
        <w:t xml:space="preserve">Spatial and temporal patterns in DOC &amp; NOM</w:t>
      </w:r>
      <w:bookmarkEnd w:id="33"/>
    </w:p>
    <w:p>
      <w:pPr>
        <w:pStyle w:val="Heading3"/>
      </w:pPr>
      <w:bookmarkStart w:id="34" w:name="introduction"/>
      <w:r>
        <w:t xml:space="preserve">Introduction</w:t>
      </w:r>
      <w:bookmarkEnd w:id="34"/>
    </w:p>
    <w:p>
      <w:pPr>
        <w:pStyle w:val="FirstParagraph"/>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Heading4"/>
      </w:pPr>
      <w:bookmarkStart w:id="35" w:name="aqueous-natural-organic-matter"/>
      <w:r>
        <w:t xml:space="preserve">Aqueous natural organic matter</w:t>
      </w:r>
      <w:bookmarkEnd w:id="35"/>
    </w:p>
    <w:p>
      <w:pPr>
        <w:pStyle w:val="FirstParagraph"/>
      </w:pPr>
      <w:r>
        <w:t xml:space="preserve">Natural organic matter (NOM)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Molecular composition and physical structure of NOM influence its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Molecular structures of NOM can contain nitrogen, silica, oxygen and hydrogen and are composed primarily of carbon; thus, organic carbon (OC) is often quantified as a proxy for NOM concentration</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NOM is an energy source for aquatic heterotrophic microbes,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DOC is an important source water quality parameter to monitor and guidelines in British Columbia specify that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associated with NOM and drinking water treatment challenges.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w:t>
      </w:r>
    </w:p>
    <w:p>
      <w:pPr>
        <w:pStyle w:val="Heading4"/>
      </w:pPr>
      <w:bookmarkStart w:id="36" w:name="sampling-strategies"/>
      <w:r>
        <w:t xml:space="preserve">Sampling strategies</w:t>
      </w:r>
      <w:bookmarkEnd w:id="36"/>
    </w:p>
    <w:p>
      <w:pPr>
        <w:pStyle w:val="FirstParagraph"/>
      </w:pPr>
      <w:r>
        <w:t xml:space="preserve">why do we sample?…</w:t>
      </w:r>
      <w:r>
        <w:t xml:space="preserve"> </w:t>
      </w:r>
      <w:r>
        <w:t xml:space="preserve">representative sampling…</w:t>
      </w:r>
      <w:r>
        <w:t xml:space="preserve"> </w:t>
      </w:r>
      <w:r>
        <w:t xml:space="preserve">methods of collecting samples…</w:t>
      </w:r>
      <w:r>
        <w:t xml:space="preserve"> </w:t>
      </w:r>
      <w:r>
        <w:t xml:space="preserve">-spatial representation</w:t>
      </w:r>
      <w:r>
        <w:t xml:space="preserve"> </w:t>
      </w:r>
      <w:r>
        <w:t xml:space="preserve">-temporal representation</w:t>
      </w:r>
      <w:r>
        <w:t xml:space="preserve"> </w:t>
      </w:r>
      <w:r>
        <w:t xml:space="preserve">influence of seasonality</w:t>
      </w:r>
    </w:p>
    <w:p>
      <w:pPr>
        <w:pStyle w:val="BodyText"/>
      </w:pPr>
      <w:r>
        <w:t xml:space="preserve">“</w:t>
      </w:r>
      <w:r>
        <w:t xml:space="preserve">Furthermore, it can be dangerous to access river sites and/or manually collect river samples during high flows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w:t>
      </w:r>
      <w:r>
        <w:t xml:space="preserve">”</w:t>
      </w:r>
    </w:p>
    <w:p>
      <w:pPr>
        <w:pStyle w:val="BodyText"/>
      </w:pPr>
      <w:r>
        <w:t xml:space="preserve">…While synoptic grab sampling can cover a wide area over a relatively short period of time, it can be difficult to schedule a synoptic sampling campaign for specific weather and flow conditions, especially for short durations of rapid runoff (</w:t>
      </w:r>
      <w:r>
        <w:t xml:space="preserve">Harmel, King, and Slade (</w:t>
      </w:r>
      <w:hyperlink w:anchor="ref-Harmel2003">
        <w:r>
          <w:rPr>
            <w:rStyle w:val="Hyperlink"/>
          </w:rPr>
          <w:t xml:space="preserve">2003</w:t>
        </w:r>
      </w:hyperlink>
      <w:r>
        <w:t xml:space="preserve">)</w:t>
      </w:r>
      <w:r>
        <w:t xml:space="preserve">).</w:t>
      </w:r>
    </w:p>
    <w:p>
      <w:pPr>
        <w:pStyle w:val="BodyText"/>
      </w:pPr>
      <w:r>
        <w:t xml:space="preserve">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p>
    <w:p>
      <w:pPr>
        <w:pStyle w:val="BodyText"/>
      </w:pPr>
      <w:r>
        <w:t xml:space="preserve">Pump samplers or passive samplers can be used to collect water samples under difficult or unsafe conditions. A pump sampler (e.g., ISCO samplers, Teledyne ISCO, Inc., Lincoln, NE, USA; Global Water Instrumentation, Gold River, California) can be set up in the field and programmed to collect a set of water samples based on time interval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multiple sites in remote or difficult to access locations (</w:t>
      </w:r>
      <w:r>
        <w:t xml:space="preserve">Mackay and Taylor (</w:t>
      </w:r>
      <w:hyperlink w:anchor="ref-Mackay2012">
        <w:r>
          <w:rPr>
            <w:rStyle w:val="Hyperlink"/>
          </w:rPr>
          <w:t xml:space="preserve">2012</w:t>
        </w:r>
      </w:hyperlink>
      <w:r>
        <w:t xml:space="preserve">)</w:t>
      </w:r>
      <w:r>
        <w:t xml:space="preserve">). A siphon sampler is a passive sampling alternative to a pump sampler; it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p>
    <w:p>
      <w:pPr>
        <w:pStyle w:val="BodyText"/>
      </w:pPr>
      <w:r>
        <w:t xml:space="preserve"> </w:t>
      </w:r>
    </w:p>
    <w:p>
      <w:pPr>
        <w:pStyle w:val="Heading3"/>
      </w:pPr>
      <w:bookmarkStart w:id="37" w:name="methods"/>
      <w:r>
        <w:t xml:space="preserve">Methods</w:t>
      </w:r>
      <w:bookmarkEnd w:id="37"/>
    </w:p>
    <w:p>
      <w:pPr>
        <w:pStyle w:val="FirstParagraph"/>
      </w:pPr>
      <w:r>
        <w:t xml:space="preserve">To measure the ranges of dissolved organic carbon (DOC) concentration and natural organic matter (NOM) character over space and time, river sampling was conducted from October 2018 to February 2020. Water samples were collected and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river sampling program designed for this project included synoptic sampling of 12 sites across the Sooke and Leech water supply areas (WSA), as well as installation of monitoring and sampling stations at 6 sites in the Leech River watershed. Results of synoptic sampling analyses were used to elucidate spatial and temporal patterns in NOM and DOC.</w:t>
      </w:r>
    </w:p>
    <w:p>
      <w:pPr>
        <w:pStyle w:val="Heading4"/>
      </w:pPr>
      <w:bookmarkStart w:id="38" w:name="sampling-sites"/>
      <w:r>
        <w:t xml:space="preserve">Sampling sites</w:t>
      </w:r>
      <w:bookmarkEnd w:id="38"/>
    </w:p>
    <w:p>
      <w:pPr>
        <w:pStyle w:val="FirstParagraph"/>
      </w:pPr>
      <w:r>
        <w:t xml:space="preserve">Most of sampling sites were located in the Leech WSA and a few key rivers in the Sooke WSA were also included (Figure</w:t>
      </w:r>
      <w:r>
        <w:t xml:space="preserve"> </w:t>
      </w:r>
      <w:r>
        <w:t xml:space="preserve">2</w:t>
      </w:r>
      <w:r>
        <w:t xml:space="preserve">). Rithet Creek is the largest tributary to Sooke Reservoir and Judge Creek is the second largest. Deception (gulch) is a small tributary to Deception Reservoir, which is separated entirely from the south-west of Sooke Reservoir by a dam. The Leech River Tunnel (currently deactivated) terminates at Deception gulch, thus Deception Reservoir is a likely balancing reservoir for future inter-basin transfers.</w:t>
      </w:r>
    </w:p>
    <w:p>
      <w:pPr>
        <w:pStyle w:val="BodyText"/>
      </w:pPr>
      <w:r>
        <w:t xml:space="preserve">In the LWSA, Lazar Creek and Jarvis Creek are headwaters of Cragg Creek, which is a major tributary to the Leech River, and Weeks and Chris Creek are headwater streams of the Leech River. West Leech is a major tributary to the Leech River, and Leech-Beach site was located just downstream of the confluence of West Leech with the mainstem. The Leech Tunnel site was located near the effective mouth of the LWSA, at the Leech River Tunnel.</w:t>
      </w:r>
    </w:p>
    <w:p>
      <w:pPr>
        <w:pStyle w:val="CaptionedFigure"/>
      </w:pPr>
      <w:r>
        <w:drawing>
          <wp:inline>
            <wp:extent cx="5943600" cy="4173459"/>
            <wp:effectExtent b="0" l="0" r="0" t="0"/>
            <wp:docPr descr="Figure 2:  River sampling sites across the Leech and Sooke Water Supply Areas (WSA), Greater Victoria, BC."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rPr>
          <w:i/>
        </w:rPr>
        <w:t xml:space="preserve">River sampling sites across the Leech and Sooke Water Supply Areas (WSA), Greater Victoria, BC.</w:t>
      </w:r>
    </w:p>
    <w:p>
      <w:pPr>
        <w:pStyle w:val="BodyText"/>
      </w:pPr>
      <w:r>
        <w:t xml:space="preserve"> </w:t>
      </w:r>
    </w:p>
    <w:p>
      <w:pPr>
        <w:pStyle w:val="Heading5"/>
      </w:pPr>
      <w:bookmarkStart w:id="40" w:name="synoptic-sampling"/>
      <w:r>
        <w:t xml:space="preserve">Synoptic sampling</w:t>
      </w:r>
      <w:bookmarkEnd w:id="40"/>
    </w:p>
    <w:p>
      <w:pPr>
        <w:pStyle w:val="FirstParagraph"/>
      </w:pPr>
      <w:r>
        <w:t xml:space="preserve">Synoptic sampling involved collecting grab samples of river water at as many sites as possible over a relatively short time period (e.g. 1 day). River water was collected in triple-rinsed acid-washed 250 mL high-density polyethylene (HDPE) wide-mouth amber bottles. Samples were capped with minimal head-space and transported in coolers with ice to the lab for analysis of dissolved organic carbon (DOC) concentrations and spectroscopic absorbance (an indicator of NOM character). All samples were refrigerated while they were held between collection and analysis. Grab samples collected for DOC quantification were filtered and acidified within 48 hours of collection, except for a set of</w:t>
      </w:r>
      <w:r>
        <w:t xml:space="preserve"> </w:t>
      </w:r>
      <w:r>
        <w:rPr>
          <w:i/>
        </w:rPr>
        <w:t xml:space="preserve">12</w:t>
      </w:r>
      <w:r>
        <w:t xml:space="preserve"> </w:t>
      </w:r>
      <w:r>
        <w:t xml:space="preserve">samples that were collected by CRD staff in January 2020 which were refrigerated for almost two weeks prior to filtration &amp; acidification. Samples for NOM spectroscopy were confirmed to have zero turbidity, were measured unfiltered and un-acidified.</w:t>
      </w:r>
    </w:p>
    <w:p>
      <w:pPr>
        <w:pStyle w:val="Heading5"/>
      </w:pPr>
      <w:bookmarkStart w:id="41" w:name="monitoring-sampling-stations"/>
      <w:r>
        <w:t xml:space="preserve">Monitoring &amp; sampling stations</w:t>
      </w:r>
      <w:bookmarkEnd w:id="41"/>
    </w:p>
    <w:p>
      <w:pPr>
        <w:pStyle w:val="FirstParagraph"/>
      </w:pPr>
      <w:r>
        <w:t xml:space="preserve">Six of the sampling sites in the LWSA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LWSA and was located at the Leech River Tunnel. The five sub-basin sites represent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river stage, temperatures, and enhanced passive sampling schemes.</w:t>
      </w:r>
    </w:p>
    <w:p>
      <w:pPr>
        <w:pStyle w:val="BodyText"/>
      </w:pPr>
      <w:r>
        <w:t xml:space="preserve"> </w:t>
      </w:r>
    </w:p>
    <w:p>
      <w:pPr>
        <w:pStyle w:val="BodyText"/>
      </w:pPr>
      <w:r>
        <w:t xml:space="preserve">The Leech watershed system responds quickly to rainfall, and the logistics of grab sampling through events at multiple sites would have been very challenging for one person to accomplish, could have been dangerous to manually sample, and would have required site access beyond safe working hours (i.e., not logistically feasible). It was important to sample across the hydrograph to capture sample-sets that represented the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Siphon sampling bottles were used on vertical sampling racks as a cost-effective, logistically practical and reliable method of passive event-based sampling that enhanced the synoptic sampling program.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sampling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siphon sampler bottles (Figure</w:t>
      </w:r>
      <w:r>
        <w:t xml:space="preserve"> </w:t>
      </w:r>
      <w:r>
        <w:t xml:space="preserve">3</w:t>
      </w:r>
      <w:r>
        <w:t xml:space="preserve">). Custom-built siphon sampler bottles used in this research were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Screw caps for 250 mL amber HDPE wide-mouth bottles were augmented to include two 1/4" (O.D.) stainless steel tubes that created the siphon system; one tube was longer than the other, both had a 180</w:t>
      </w:r>
      <m:oMath>
        <m:sSup>
          <m:e>
            <m:r>
              <m:t>​</m:t>
            </m:r>
          </m:e>
          <m:sup>
            <m:r>
              <m:t>∘</m:t>
            </m:r>
          </m:sup>
        </m:sSup>
      </m:oMath>
      <w:r>
        <w:t xml:space="preserve"> </w:t>
      </w:r>
      <w:r>
        <w:t xml:space="preserve">bend at the top end. Marine epoxy was used on the outside of siphon caps to ensure a water-tight seal around the inlet and exhaust (lower and upper tubes, respectively), and inert silicone sealant was added to the inside of lids to ensure watertightness and clean sample containment. The siphon samplers collected river water from approximately 5 cm below the surface (the distance between bend at top of intake tube to inlet orifice).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2"/>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Each time a monitoring site was visited, empty acid-washed sample bottles with siphon lids were set out on vertical racks. The stage at which each siphon bottle filled was recorded; this was the height on the stilling-well measuring tape that corresponded to the top of each siphon intake tube bend. Samples were passively collected in my absence as rivers responded to precipitation, and I retrieved them on subsequent field trips (at which point the filling-stage was double checked).</w:t>
      </w:r>
    </w:p>
    <w:p>
      <w:pPr>
        <w:pStyle w:val="BodyText"/>
      </w:pPr>
      <w:r>
        <w:t xml:space="preserve"> </w:t>
      </w:r>
    </w:p>
    <w:p>
      <w:pPr>
        <w:pStyle w:val="BodyText"/>
      </w:pPr>
      <w:r>
        <w:t xml:space="preserve">During data analysis, the observed stage at which each siphon bottle filled was references to level-logger data to determine the date and time of collection for each rising-stage sample. To the best of my knowledge, this project was the first to combine vertically staggered passive siphon samplers with observed and continuously recorded stage to obtain time-stamps of sample collection. The time-stamps were used to asses temporal variability in DOC &amp; NOM (details in Chapter 3) and to inform quality management of samples (below).</w:t>
      </w:r>
    </w:p>
    <w:p>
      <w:pPr>
        <w:pStyle w:val="Heading6"/>
      </w:pPr>
      <w:bookmarkStart w:id="43" w:name="siphon-sampler-assumptions"/>
      <w:r>
        <w:t xml:space="preserve">Siphon sampler assumptions</w:t>
      </w:r>
      <w:bookmarkEnd w:id="43"/>
    </w:p>
    <w:p>
      <w:pPr>
        <w:pStyle w:val="FirstParagraph"/>
      </w:pPr>
      <w:r>
        <w:t xml:space="preserve">The representativeness of vertical rack samples relied on two key assumptions: (1) the water column was well mixed (no stratification) therefore the sample collected was representative of river water quality at each sampling stage; and (2) the sample was discrete, such that there was no infiltration or mixing between surrounding river water and the sample in the bottle once the sample was collected.</w:t>
      </w:r>
    </w:p>
    <w:p>
      <w:pPr>
        <w:pStyle w:val="BodyText"/>
      </w:pPr>
      <w:r>
        <w:t xml:space="preserve"> </w:t>
      </w:r>
    </w:p>
    <w:p>
      <w:pPr>
        <w:pStyle w:val="BodyText"/>
      </w:pPr>
      <w:r>
        <w:t xml:space="preserve">Based on turbulence associated with flows upstream of the vertical racks (step-pool formations), the assumption of fully mixed and unstratified water seemed justified. Sample discretion was validated in lab using food colouring and a flow-through bucket system. In this test,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compared to the dyed water that had circulated around it. This test was repeated five times with different siphon-lid bottles. There was no dye present in any of the siphon sample bottles following the tests. This affirmed the assumption of discrete siphon sample collection.</w:t>
      </w:r>
    </w:p>
    <w:p>
      <w:pPr>
        <w:pStyle w:val="Heading6"/>
      </w:pPr>
      <w:bookmarkStart w:id="44" w:name="sampling-rack-hold-time-experiments"/>
      <w:r>
        <w:t xml:space="preserve">Sampling rack hold-time experiments</w:t>
      </w:r>
      <w:bookmarkEnd w:id="44"/>
    </w:p>
    <w:p>
      <w:pPr>
        <w:pStyle w:val="FirstParagraph"/>
      </w:pPr>
      <w:r>
        <w:t xml:space="preserve">Every effort was made to retrieve rack samples as quickly as possible from the racks following rain events. None the less, some samples remained on a rack for more than a few days due to logistical, access and safety considerations. So, hold-time experiments were performed to assess river sample stability over periods between rack sample collection and retrieval. The hold-time experiments included replicate sample collection (n = 10) where half the samples were capped with siphon lids and placed out of water on a vertical rack in the field and the other half of samples were immediately returned to the lab for analysis. Three sets of hold-time experiments were completed such that the simulated-rack samples were left in the field for 11, 20 and 34 days before being retrieved for analysis and comparison to their counterpart replicates (details in results section). The temperature sensors installed at each vertical rack were used as part of the hold-time assessment for sample stability and results were used to flag data as suspect or acceptable for inclusion in results.</w:t>
      </w:r>
    </w:p>
    <w:p>
      <w:pPr>
        <w:pStyle w:val="Heading4"/>
      </w:pPr>
      <w:bookmarkStart w:id="45" w:name="laboraory-analyses-of-water-samples"/>
      <w:r>
        <w:t xml:space="preserve">Laboraory analyses of water samples</w:t>
      </w:r>
      <w:bookmarkEnd w:id="45"/>
    </w:p>
    <w:p>
      <w:pPr>
        <w:pStyle w:val="FirstParagraph"/>
      </w:pPr>
      <w:r>
        <w:t xml:space="preserve">Each water sample was transported from the field to the lab in a cooler with ice for quantification of dissolved organic carbon (DOC) and qualitative assessment of natural organic matter (NOM) molecular character. Aqueous forms of NOM in freshwater play important ecological roles but can be problematic for drinking water treatment because they increase oxidant demand (e.g. chlorination), contribute to the formation of disinfection by-products, and cause other disruptions (e.g. short filter run times, microbial bio-fouling, coagulant demand). Because the backbone of NOM is carbon, DOC is a measure of the dissolved forms of NOM in a sample. While quantifying a sample’s DOC is important in describing the amount of NOM, it tells us nothing about the structure (and therefore the function) of that material. Characterizing molecular attributes in addition to quantifying NOM provides greater insight than quantification alone; therefore, both quantification of DOC and characterization of NOM were tackled for this project. Samples were also measured for phosphate concentration using a colourimetric (ascorbic acid) orthophosphate test kit (HACH PO-19); each water sample had phosphate concentration below detectable limits (0.1 mg/L).</w:t>
      </w:r>
    </w:p>
    <w:p>
      <w:pPr>
        <w:pStyle w:val="Heading5"/>
      </w:pPr>
      <w:bookmarkStart w:id="46" w:name="quantifying-doc-dissolved-organic-carbon"/>
      <w:r>
        <w:t xml:space="preserve">Quantifying DOC (dissolved organic carbon)</w:t>
      </w:r>
      <w:bookmarkEnd w:id="46"/>
    </w:p>
    <w:p>
      <w:pPr>
        <w:pStyle w:val="FirstParagraph"/>
      </w:pPr>
      <w:r>
        <w:t xml:space="preserve">To quantify dissolved organic carbon (DOC), the major constituent of natural organic matter, samples were analyzed for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Heading6"/>
      </w:pPr>
      <w:bookmarkStart w:id="47" w:name="sample-preparation"/>
      <w:r>
        <w:t xml:space="preserve">Sample preparation</w:t>
      </w:r>
      <w:bookmarkEnd w:id="47"/>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On a few occasions with extended time in the field (greater than 48hrs), samples were filtered and acidified (as above) at the field house, then capped with Teflon-lined caps and refrigerated until return to the lab for analysis.</w:t>
      </w:r>
    </w:p>
    <w:p>
      <w:pPr>
        <w:pStyle w:val="Heading6"/>
      </w:pPr>
      <w:bookmarkStart w:id="48" w:name="instrumental-analysis"/>
      <w:r>
        <w:t xml:space="preserve">Instrumental analysis</w:t>
      </w:r>
      <w:bookmarkEnd w:id="48"/>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(upon acidification, inorganic species were converted to aqueous CO</w:t>
      </w:r>
      <w:r>
        <w:rPr>
          <w:vertAlign w:val="subscript"/>
        </w:rPr>
        <w:t xml:space="preserve">2</w:t>
      </w:r>
      <w:r>
        <w:t xml:space="preserve">), leaving only dissolved organic carbon in the sample. Aliquots of sparged sample (80 μL) were then drawn into the TOC-V and catalytically combusted (Shimadzu standard catalyst with quartz wool) to convert all organic carbon into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w:t>
      </w:r>
    </w:p>
    <w:p>
      <w:pPr>
        <w:pStyle w:val="BodyText"/>
      </w:pPr>
      <w:r>
        <w:t xml:space="preserve">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Files output by the TOC-V software included sample identification information, details of analytical processes and results including detected intensities and calculated NPOC concentrations. Concentration results were calculated from a selected calibration file. 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solution (labchecm.com, catalog No.LC129107) diluted to approximately 5 mg/L); these cal-vers resulted in an average accuracy of 10.8% (n=20).</w:t>
      </w:r>
    </w:p>
    <w:p>
      <w:pPr>
        <w:pStyle w:val="Heading5"/>
      </w:pPr>
      <w:bookmarkStart w:id="49" w:name="X7e9e3c08bf23e8477697b7359078143289e45ae"/>
      <w:r>
        <w:t xml:space="preserve">Characterization of NOM (natural organic matter)</w:t>
      </w:r>
      <w:bookmarkEnd w:id="49"/>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in-lab for this project.</w:t>
      </w:r>
    </w:p>
    <w:p>
      <w:pPr>
        <w:pStyle w:val="BodyText"/>
      </w:pPr>
      <w:r>
        <w:t xml:space="preserve"> </w:t>
      </w:r>
    </w:p>
    <w:p>
      <w:pPr>
        <w:pStyle w:val="BodyText"/>
      </w:pPr>
      <w:r>
        <w:t xml:space="preserve">For NOM to be detected by UV-Vis spectroscopy the molecules must absorb ultraviolet (UV) or visible (Vis) light, which is a physiochemical ability determined by the electronic structure of a molecule. UV-Vis absorption requires the presence of a conjugated pi-bond system (i.e., a chromophore) in the molecule, which is common in aromatic molecules. The suite of molecules that comprise NOM generally have more aromatic than aliphatic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and a more concentrated sample will lead to greater absorption intensity; therefore, the UV-Vis spectrum of a sample can provide valuable information about relative weights and aromaticity of aqueous NOM</w:t>
      </w:r>
      <w:r>
        <w:t xml:space="preserve"> </w:t>
      </w:r>
      <w:r>
        <w:t xml:space="preserve">(Helms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estimated from UV-Vis absorbance is a proxy measure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Heading6"/>
      </w:pPr>
      <w:bookmarkStart w:id="50" w:name="sample-analysis"/>
      <w:r>
        <w:t xml:space="preserve">Sample analysis</w:t>
      </w:r>
      <w:bookmarkEnd w:id="50"/>
    </w:p>
    <w:p>
      <w:pPr>
        <w:pStyle w:val="FirstParagraph"/>
      </w:pPr>
      <w:r>
        <w:t xml:space="preserve">Water samples were removed from refrigeration, brought to room temperature, and inverted to mix prior to spectral analysis. The spectro::lyser comes with a sleeve to contain approximately 100 mL of sample around the spectral path. The analytical sample space (path and sleeve) was triple-rinsed with room-temperature sample water prior to analysis, then the sample sleeve was filled, and the sample was analyzed.</w:t>
      </w:r>
    </w:p>
    <w:p>
      <w:pPr>
        <w:pStyle w:val="BodyText"/>
      </w:pPr>
      <w:r>
        <w:t xml:space="preserve"> </w:t>
      </w:r>
    </w:p>
    <w:p>
      <w:pPr>
        <w:pStyle w:val="BodyText"/>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interferes with UV-Vis absorbance due primarily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While unfiltered water samples were analyzed in the spectrolyser for NOM, samples that had detectable turbidity (greater than 0.0000 FTU) were removed from data analysis.</w:t>
      </w:r>
    </w:p>
    <w:p>
      <w:pPr>
        <w:pStyle w:val="Heading6"/>
      </w:pPr>
      <w:bookmarkStart w:id="51" w:name="instrument-and-data-handling"/>
      <w:r>
        <w:t xml:space="preserve">Instrument and data handling</w:t>
      </w:r>
      <w:bookmarkEnd w:id="51"/>
    </w:p>
    <w:p>
      <w:pPr>
        <w:pStyle w:val="FirstParagraph"/>
      </w:pPr>
      <w:r>
        <w:t xml:space="preserve">Files output by the spectro::lyser software (ana::pro, Version 5.9h (1.0.z)) include results of estimated concentrations (details follow) and specific absorbance coefficients (m</w:t>
      </w:r>
      <w:r>
        <w:rPr>
          <w:vertAlign w:val="superscript"/>
        </w:rPr>
        <w:t xml:space="preserve">-1</w:t>
      </w:r>
      <w:r>
        <w:t xml:space="preserve">) at 254 nm and 436 nm (A</w:t>
      </w:r>
      <w:r>
        <w:rPr>
          <w:vertAlign w:val="subscript"/>
        </w:rPr>
        <w:t xml:space="preserve">254</w:t>
      </w:r>
      <w:r>
        <w:t xml:space="preserve"> </w:t>
      </w:r>
      <w:r>
        <w:t xml:space="preserve">and A</w:t>
      </w:r>
      <w:r>
        <w:rPr>
          <w:vertAlign w:val="subscript"/>
        </w:rPr>
        <w:t xml:space="preserve">436</w:t>
      </w:r>
      <w:r>
        <w:t xml:space="preserve">, respectively), as well as another</w:t>
      </w:r>
      <w:r>
        <w:t xml:space="preserve"> </w:t>
      </w:r>
      <w:r>
        <w:t xml:space="preserve">“</w:t>
      </w:r>
      <w:r>
        <w:t xml:space="preserve">fingerprint</w:t>
      </w:r>
      <w:r>
        <w:t xml:space="preserve">”</w:t>
      </w:r>
      <w:r>
        <w:t xml:space="preserve"> </w:t>
      </w:r>
      <w:r>
        <w:t xml:space="preserve">file of specific absorbance coefficients for the entire wavelength range. Within the instrument software, full scan absorbance data (unitless absorbance values) were converted to specific absorbance coefficient (SAC). SAC represents absorbance at a given wavelength (abs</w:t>
      </w:r>
      <w:r>
        <w:rPr>
          <w:vertAlign w:val="subscript"/>
        </w:rPr>
        <w:t xml:space="preserve">λ</w:t>
      </w:r>
      <w:r>
        <w:t xml:space="preserve">) normalized to the spectrophotometer pathlength (SAC</w:t>
      </w:r>
      <w:r>
        <w:rPr>
          <w:vertAlign w:val="subscript"/>
        </w:rPr>
        <w:t xml:space="preserve">λ</w:t>
      </w:r>
      <m:oMath>
        <m:r>
          <m:t>=</m:t>
        </m:r>
        <m:r>
          <m:t>a</m:t>
        </m:r>
        <m:r>
          <m:t>b</m:t>
        </m:r>
        <m:sSub>
          <m:e>
            <m:r>
              <m:t>s</m:t>
            </m:r>
          </m:e>
          <m:sub>
            <m:r>
              <m:t>λ</m:t>
            </m:r>
          </m:sub>
        </m:sSub>
        <m:r>
          <m:t>/</m:t>
        </m:r>
        <m:r>
          <m:t>p</m:t>
        </m:r>
        <m:r>
          <m:t>a</m:t>
        </m:r>
        <m:r>
          <m:t>t</m:t>
        </m:r>
        <m:r>
          <m:t>h</m:t>
        </m:r>
        <m:r>
          <m:t>l</m:t>
        </m:r>
        <m:r>
          <m:t>e</m:t>
        </m:r>
        <m:r>
          <m:t>n</m:t>
        </m:r>
        <m:r>
          <m:t>g</m:t>
        </m:r>
        <m:r>
          <m:t>t</m:t>
        </m:r>
        <m:r>
          <m:t>h</m:t>
        </m:r>
      </m:oMath>
      <w:r>
        <w:t xml:space="preserve">); the spectro::lyser used in these analyses had a fixed pathlength of 35.0 mm.</w:t>
      </w:r>
    </w:p>
    <w:p>
      <w:pPr>
        <w:pStyle w:val="BodyText"/>
      </w:pPr>
      <w:r>
        <w:t xml:space="preserve"> </w:t>
      </w:r>
    </w:p>
    <w:p>
      <w:pPr>
        <w:pStyle w:val="BodyText"/>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Details of the Global calibration algorithm were not provided by the manufacturer, but the local representative (Aquatic Life, Ltd.) suggested a paper that reported the Global Calibration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were used to calculate SUVA</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254</w:t>
      </w:r>
      <w:r>
        <w:t xml:space="preserve">:SAC</w:t>
      </w:r>
      <w:r>
        <w:rPr>
          <w:vertAlign w:val="subscript"/>
        </w:rPr>
        <w:t xml:space="preserve">365</w:t>
      </w:r>
      <w:r>
        <w:t xml:space="preserve">), which are spectral indices used to describe NOM character.</w:t>
      </w:r>
    </w:p>
    <w:p>
      <w:pPr>
        <w:pStyle w:val="Heading6"/>
      </w:pPr>
      <w:bookmarkStart w:id="52" w:name="suva254-specific-ultraviolet-absorbance"/>
      <w:r>
        <w:t xml:space="preserve">SUVA</w:t>
      </w:r>
      <w:r>
        <w:rPr>
          <w:vertAlign w:val="subscript"/>
        </w:rPr>
        <w:t xml:space="preserve">254</w:t>
      </w:r>
      <w:r>
        <w:t xml:space="preserve"> </w:t>
      </w:r>
      <w:r>
        <w:t xml:space="preserve">(specific ultraviolet absorbance)</w:t>
      </w:r>
      <w:bookmarkEnd w:id="52"/>
    </w:p>
    <w:p>
      <w:pPr>
        <w:pStyle w:val="FirstParagraph"/>
      </w:pPr>
      <w:r>
        <w:t xml:space="preserve">Specific ultraviolet absorbance at 254 nm (SUVA</w:t>
      </w:r>
      <w:r>
        <w:rPr>
          <w:vertAlign w:val="subscript"/>
        </w:rPr>
        <w:t xml:space="preserve">254</w:t>
      </w:r>
      <w:r>
        <w:t xml:space="preserve">) is a widely adopted indicator of NOM character that measures the aromatic content of a sample per unit concentration of organic carbon (e.g.,</w:t>
      </w:r>
      <w:r>
        <w:t xml:space="preserve">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SAC</w:t>
      </w:r>
      <w:r>
        <w:rPr>
          <w:vertAlign w:val="subscript"/>
        </w:rPr>
        <w:t xml:space="preserve">254</w:t>
      </w:r>
      <w:r>
        <w:t xml:space="preserve"> </w:t>
      </w:r>
      <w:r>
        <w:t xml:space="preserve">normalized to the samples DOC concentration. SUVA</w:t>
      </w:r>
      <w:r>
        <w:rPr>
          <w:vertAlign w:val="subscript"/>
        </w:rPr>
        <w:t xml:space="preserve">254</w:t>
      </w:r>
      <w:r>
        <w:t xml:space="preserve"> </w:t>
      </w:r>
      <w:r>
        <w:t xml:space="preserve">was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is reported in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A sample with high SUVA (relatively great UV absorption at 254 nm for the amount of DOC in the sample) indicates more aromatic, larger (higher molecular weight) NOM components, and a lower SUVA value (e.g. below 3 L/mg-m) corresponds to a sample with lower molecular weight, more aliphatic and hydrophilic, less humic NOM</w:t>
      </w:r>
      <w:r>
        <w:t xml:space="preserve"> </w:t>
      </w:r>
      <w:r>
        <w:t xml:space="preserve">(Karanfil, Schlautman, and Erdogan</w:t>
      </w:r>
      <w:r>
        <w:t xml:space="preserve"> </w:t>
      </w:r>
      <w:hyperlink w:anchor="ref-Karanfil2002">
        <w:r>
          <w:rPr>
            <w:rStyle w:val="Hyperlink"/>
          </w:rPr>
          <w:t xml:space="preserve">2002</w:t>
        </w:r>
      </w:hyperlink>
      <w:r>
        <w:t xml:space="preserve">)</w:t>
      </w:r>
      <w:r>
        <w:t xml:space="preserve">. Because allochthonous NOM (i.e., humic substances) are more aromatic than aliphatic, SUVA</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Heading6"/>
      </w:pPr>
      <w:bookmarkStart w:id="53" w:name="e2e3-spectral-ratio"/>
      <w:r>
        <w:t xml:space="preserve">E</w:t>
      </w:r>
      <w:r>
        <w:rPr>
          <w:vertAlign w:val="subscript"/>
        </w:rPr>
        <w:t xml:space="preserve">2</w:t>
      </w:r>
      <w:r>
        <w:t xml:space="preserve">:E</w:t>
      </w:r>
      <w:r>
        <w:rPr>
          <w:vertAlign w:val="subscript"/>
        </w:rPr>
        <w:t xml:space="preserve">3</w:t>
      </w:r>
      <w:r>
        <w:t xml:space="preserve"> </w:t>
      </w:r>
      <w:r>
        <w:t xml:space="preserve">(spectral ratio)</w:t>
      </w:r>
      <w:bookmarkEnd w:id="53"/>
    </w:p>
    <w:p>
      <w:pPr>
        <w:pStyle w:val="FirstParagraph"/>
      </w:pPr>
      <w:r>
        <w:t xml:space="preserve">In the absence of fluorescence excitation-emission matrices, or high-resolution spectrometric methods, UV-Vis absorbance data provides a simple tool for elucidating the molecular characteristics of aromaticity and weight. Two indices used for molecular characterization are spectral slopes and absorbance quotients.</w:t>
      </w:r>
    </w:p>
    <w:p>
      <w:pPr>
        <w:pStyle w:val="BodyText"/>
      </w:pPr>
      <w:r>
        <w:t xml:space="preserve"> </w:t>
      </w:r>
    </w:p>
    <w:p>
      <w:pPr>
        <w:pStyle w:val="BodyText"/>
      </w:pPr>
      <w:r>
        <w:t xml:space="preserve">A spectral slope (S) is the change in absorbance intensity over a range of wavelengths. The ratio of S over the range 275-295 nm (S</w:t>
      </w:r>
      <w:r>
        <w:rPr>
          <w:vertAlign w:val="subscript"/>
        </w:rPr>
        <w:t xml:space="preserve">275-295</w:t>
      </w:r>
      <w:r>
        <w:t xml:space="preserve">) to S over 350-400 nm (S</w:t>
      </w:r>
      <w:r>
        <w:rPr>
          <w:vertAlign w:val="subscript"/>
        </w:rPr>
        <w:t xml:space="preserve">350-400</w:t>
      </w:r>
      <w:r>
        <w:t xml:space="preserve">) is a semi-quantitative indicator called slope ratio (S</w:t>
      </w:r>
      <w:r>
        <w:rPr>
          <w:vertAlign w:val="subscript"/>
        </w:rPr>
        <w:t xml:space="preserve">R</w:t>
      </w:r>
      <w:r>
        <w:t xml:space="preserve">) which is inversely proportional to molecular weight and aromaticity of chromophoric organic matter</w:t>
      </w:r>
      <w:r>
        <w:t xml:space="preserve"> </w:t>
      </w:r>
      <w:r>
        <w:t xml:space="preserve">(Helms et al.</w:t>
      </w:r>
      <w:r>
        <w:t xml:space="preserve"> </w:t>
      </w:r>
      <w:hyperlink w:anchor="ref-Helms2008">
        <w:r>
          <w:rPr>
            <w:rStyle w:val="Hyperlink"/>
          </w:rPr>
          <w:t xml:space="preserve">2008</w:t>
        </w:r>
      </w:hyperlink>
      <w:r>
        <w:t xml:space="preserve">)</w:t>
      </w:r>
      <w:r>
        <w:t xml:space="preserve">. S</w:t>
      </w:r>
      <w:r>
        <w:rPr>
          <w:vertAlign w:val="subscript"/>
        </w:rPr>
        <w:t xml:space="preserve">275-295</w:t>
      </w:r>
      <w:r>
        <w:t xml:space="preserve"> </w:t>
      </w:r>
      <w:r>
        <w:t xml:space="preserve">and S</w:t>
      </w:r>
      <w:r>
        <w:rPr>
          <w:vertAlign w:val="subscript"/>
        </w:rPr>
        <w:t xml:space="preserve">350-400</w:t>
      </w:r>
      <w:r>
        <w:t xml:space="preserve"> </w:t>
      </w:r>
      <w:r>
        <w:t xml:space="preserve">are calculated from linear regression of log-transformed spectral absorbance coefficients (m</w:t>
      </w:r>
      <w:r>
        <w:rPr>
          <w:vertAlign w:val="superscript"/>
        </w:rPr>
        <w:t xml:space="preserve">-1</w:t>
      </w:r>
      <w:r>
        <w:t xml:space="preserve">), or from fitting absorption spectra to an exponential decay function by non linear regression (see</w:t>
      </w:r>
      <w:r>
        <w:t xml:space="preserve"> </w:t>
      </w:r>
      <w:r>
        <w:t xml:space="preserve">Helms et al. (</w:t>
      </w:r>
      <w:hyperlink w:anchor="ref-Helms2008">
        <w:r>
          <w:rPr>
            <w:rStyle w:val="Hyperlink"/>
          </w:rPr>
          <w:t xml:space="preserve">2008</w:t>
        </w:r>
      </w:hyperlink>
      <w:r>
        <w:t xml:space="preserve">)</w:t>
      </w:r>
      <w:r>
        <w:t xml:space="preserve"> </w:t>
      </w:r>
      <w:r>
        <w:t xml:space="preserve">p 958, or</w:t>
      </w:r>
      <w:r>
        <w:t xml:space="preserve"> </w:t>
      </w:r>
      <w:r>
        <w:t xml:space="preserve">Fichot and Benner (</w:t>
      </w:r>
      <w:hyperlink w:anchor="ref-Fichot2012">
        <w:r>
          <w:rPr>
            <w:rStyle w:val="Hyperlink"/>
          </w:rPr>
          <w:t xml:space="preserve">2012</w:t>
        </w:r>
      </w:hyperlink>
      <w:r>
        <w:t xml:space="preserve">)</w:t>
      </w:r>
      <w:r>
        <w:t xml:space="preserve"> </w:t>
      </w:r>
      <w:r>
        <w:t xml:space="preserve">eqn.1, p 1455).</w:t>
      </w:r>
    </w:p>
    <w:p>
      <w:pPr>
        <w:pStyle w:val="BodyText"/>
      </w:pPr>
      <w:r>
        <w:t xml:space="preserve"> </w:t>
      </w:r>
    </w:p>
    <w:p>
      <w:pPr>
        <w:pStyle w:val="BodyText"/>
      </w:pPr>
      <w:r>
        <w:t xml:space="preserve">Alternatively, the quotient E</w:t>
      </w:r>
      <w:r>
        <w:rPr>
          <w:vertAlign w:val="subscript"/>
        </w:rPr>
        <w:t xml:space="preserve">2</w:t>
      </w:r>
      <w:r>
        <w:t xml:space="preserve">:E</w:t>
      </w:r>
      <w:r>
        <w:rPr>
          <w:vertAlign w:val="subscript"/>
        </w:rPr>
        <w:t xml:space="preserve">3</w:t>
      </w:r>
      <w:r>
        <w:t xml:space="preserve"> </w:t>
      </w:r>
      <w:r>
        <w:t xml:space="preserve">provides information analogous to that of S</w:t>
      </w:r>
      <w:r>
        <w:rPr>
          <w:vertAlign w:val="subscript"/>
        </w:rPr>
        <w:t xml:space="preserve">R</w:t>
      </w:r>
      <w:r>
        <w:t xml:space="preserve"> </w:t>
      </w:r>
      <w:r>
        <w:t xml:space="preserve">and is a much simpler calculation</w:t>
      </w:r>
      <w:r>
        <w:t xml:space="preserve"> </w:t>
      </w:r>
      <w:r>
        <w:t xml:space="preserve">(Helms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(calculated by dividing A</w:t>
      </w:r>
      <w:r>
        <w:rPr>
          <w:vertAlign w:val="subscript"/>
        </w:rPr>
        <w:t xml:space="preserve">250</w:t>
      </w:r>
      <w:r>
        <w:t xml:space="preserve"> </w:t>
      </w:r>
      <w:r>
        <w:t xml:space="preserve">by A</w:t>
      </w:r>
      <w:r>
        <w:rPr>
          <w:vertAlign w:val="subscript"/>
        </w:rPr>
        <w:t xml:space="preserve">365</w:t>
      </w:r>
      <w:r>
        <w:t xml:space="preserve">) and, like S</w:t>
      </w:r>
      <w:r>
        <w:rPr>
          <w:vertAlign w:val="subscript"/>
        </w:rPr>
        <w:t xml:space="preserve">R</w:t>
      </w:r>
      <w:r>
        <w:t xml:space="preserve">, is inversely related to the aromaticity and molecular weight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to elucidate molecular character of NOM in samples.</w:t>
      </w:r>
    </w:p>
    <w:p>
      <w:pPr>
        <w:pStyle w:val="Heading4"/>
      </w:pPr>
      <w:bookmarkStart w:id="54" w:name="ancilary-data-climate-and-forests"/>
      <w:r>
        <w:t xml:space="preserve">Ancilary data: climate and forests</w:t>
      </w:r>
      <w:bookmarkEnd w:id="54"/>
    </w:p>
    <w:p>
      <w:pPr>
        <w:pStyle w:val="FirstParagraph"/>
      </w:pPr>
      <w:r>
        <w:rPr>
          <w:b/>
        </w:rPr>
        <w:t xml:space="preserve">note: this section should be augmented to include data and comments on Sooke watershed also (synoptic sites)</w:t>
      </w:r>
    </w:p>
    <w:p>
      <w:pPr>
        <w:pStyle w:val="BodyText"/>
      </w:pPr>
      <w:r>
        <w:t xml:space="preserve">The Leech River watershed and Sooke water supply area are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Leech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~2000 mm per year falls as rain (i.e., pluvial hydroclimatic regime)</w:t>
      </w:r>
      <w:r>
        <w:t xml:space="preserve"> </w:t>
      </w:r>
      <w:r>
        <w:t xml:space="preserve">(CRD</w:t>
      </w:r>
      <w:r>
        <w:t xml:space="preserve"> </w:t>
      </w:r>
      <w:hyperlink w:anchor="ref-CRD2020">
        <w:r>
          <w:rPr>
            <w:rStyle w:val="Hyperlink"/>
          </w:rPr>
          <w:t xml:space="preserve">2020</w:t>
        </w:r>
      </w:hyperlink>
      <w:r>
        <w:t xml:space="preserve">)</w:t>
      </w:r>
      <w:r>
        <w:t xml:space="preserve">. Like much of the south coast of BC, the water year can be broadly divided into wet and dry seasons, where approximately October through April are wet while May through September are relatively dry.</w:t>
      </w:r>
    </w:p>
    <w:p>
      <w:pPr>
        <w:pStyle w:val="Heading5"/>
      </w:pPr>
      <w:bookmarkStart w:id="55" w:name="weather-in-the-leech-watershed"/>
      <w:r>
        <w:t xml:space="preserve">Weather in the Leech watershed</w:t>
      </w:r>
      <w:bookmarkEnd w:id="55"/>
    </w:p>
    <w:p>
      <w:pPr>
        <w:pStyle w:val="FirstParagraph"/>
      </w:pPr>
      <w:r>
        <w:t xml:space="preserve">The Capital Regional District (CRD) provided data from these two fire-weather (</w:t>
      </w:r>
      <w:r>
        <w:t xml:space="preserve">“</w:t>
      </w:r>
      <w:r>
        <w:t xml:space="preserve">FWx</w:t>
      </w:r>
      <w:r>
        <w:t xml:space="preserve">”</w:t>
      </w:r>
      <w:r>
        <w:t xml:space="preserve">) stations in the Leech water supply area (LWSA). Chris Creek weather station is located in the headwaters of the Leech watershed and Martin’s Gulch is located near the future point of diversion, the Leech River Tunnel (Table</w:t>
      </w:r>
      <w:r>
        <w:t xml:space="preserve"> </w:t>
      </w:r>
      <w:r>
        <w:t xml:space="preserve">2</w:t>
      </w:r>
      <w:r>
        <w:t xml:space="preserve"> </w:t>
      </w:r>
      <w:r>
        <w:t xml:space="preserve">&amp; Figure @ref(fig:???), Chapter 1).</w:t>
      </w:r>
    </w:p>
    <w:p>
      <w:pPr>
        <w:pStyle w:val="BodyText"/>
      </w:pPr>
      <w:r>
        <w:t xml:space="preserve"> </w:t>
      </w:r>
    </w:p>
    <w:p>
      <w:pPr>
        <w:pStyle w:val="TableCaption"/>
      </w:pPr>
      <w:r>
        <w:t xml:space="preserve">Table 2:</w:t>
      </w:r>
      <w:r>
        <w:t xml:space="preserve"> </w:t>
      </w:r>
      <w:r>
        <w:rPr>
          <w:i/>
        </w:rPr>
        <w:t xml:space="preserve">CRD fire weather station (FWx) summary of features</w:t>
      </w:r>
    </w:p>
    <w:tbl>
      <w:tblPr>
        <w:tblStyle w:val="Table"/>
        <w:tblW w:type="pct" w:w="5000.0"/>
        <w:tblLook w:firstRow="1"/>
        <w:tblCaption w:val="Table 2: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Data from January 2018 to March 2020 were provided and used to define sampling seasons and were employed in quality control assessments of vertical rack samples.</w:t>
      </w:r>
    </w:p>
    <w:p>
      <w:pPr>
        <w:pStyle w:val="SourceCode"/>
      </w:pPr>
      <w:r>
        <w:rPr>
          <w:rStyle w:val="VerbatimChar"/>
        </w:rPr>
        <w:t xml:space="preserve">possibly move this into intro and just keep means here.</w:t>
      </w:r>
      <w:r>
        <w:br/>
      </w:r>
      <w:r>
        <w:rPr>
          <w:rStyle w:val="VerbatimChar"/>
        </w:rPr>
        <w:t xml:space="preserve">Slightly more precipitation was recorded at Martin's Gulch than Chris Creek station (Figure \@ref(fig:WxLWSA), Table \@ref(tab:WxLWSAdata)).</w:t>
      </w:r>
      <w:r>
        <w:br/>
      </w:r>
      <w:r>
        <w:br/>
      </w:r>
      <w:r>
        <w:rPr>
          <w:rStyle w:val="VerbatimChar"/>
        </w:rPr>
        <w:t xml:space="preserve">\  </w:t>
      </w:r>
      <w:r>
        <w:br/>
      </w:r>
      <w:r>
        <w:rPr>
          <w:rStyle w:val="VerbatimChar"/>
        </w:rPr>
        <w:t xml:space="preserve"> </w:t>
      </w:r>
      <w:r>
        <w:br/>
      </w:r>
      <w:r>
        <w:rPr>
          <w:rStyle w:val="VerbatimChar"/>
        </w:rPr>
        <w:t xml:space="preserve">![(\#fig:WxLWSA)\label{fig:WxLWSA} *Weather from FWx stations in the Leech water supply area. Coloured sections of plots highlight the field study period of this project.*](R-outputs_UBC-forWater-MSc_HMc/figures/Wx_LWSA.png){width=100%}</w:t>
      </w:r>
      <w:r>
        <w:br/>
      </w:r>
      <w:r>
        <w:br/>
      </w:r>
      <w:r>
        <w:rPr>
          <w:rStyle w:val="VerbatimChar"/>
        </w:rPr>
        <w:t xml:space="preserve">\  </w:t>
      </w:r>
      <w:r>
        <w:br/>
      </w:r>
      <w:r>
        <w:br/>
      </w:r>
      <w:r>
        <w:br/>
      </w:r>
      <w:r>
        <w:rPr>
          <w:rStyle w:val="VerbatimChar"/>
        </w:rPr>
        <w:t xml:space="preserve">Table: (\#tab:WxLWSAdata)Annual weather from CRD FWx stations in the Leech water supply area*</w:t>
      </w:r>
      <w:r>
        <w:br/>
      </w:r>
      <w:r>
        <w:br/>
      </w:r>
      <w:r>
        <w:rPr>
          <w:rStyle w:val="VerbatimChar"/>
        </w:rPr>
        <w:t xml:space="preserve">|Year         |station name      | annual rain. (mm)| max snow (m)| mean air temp. (°C)| stdev air temp. (± °C)| mean max. temp. (°C)| mean min. temp. (°C)|</w:t>
      </w:r>
      <w:r>
        <w:br/>
      </w:r>
      <w:r>
        <w:rPr>
          <w:rStyle w:val="VerbatimChar"/>
        </w:rPr>
        <w:t xml:space="preserve">|:------------|:-----------------|-----------------:|------------:|-------------------:|----------------------:|--------------------:|--------------------:|</w:t>
      </w:r>
      <w:r>
        <w:br/>
      </w:r>
      <w:r>
        <w:rPr>
          <w:rStyle w:val="VerbatimChar"/>
        </w:rPr>
        <w:t xml:space="preserve">|2018         |FWx Chris Creek   |            1967.8|         0.53|                 8.1|                    7.5|                -11.9|                 34.8|</w:t>
      </w:r>
      <w:r>
        <w:br/>
      </w:r>
      <w:r>
        <w:rPr>
          <w:rStyle w:val="VerbatimChar"/>
        </w:rPr>
        <w:t xml:space="preserve">|2018         |FWx Martins Gulch |            2042.3|         0.24|                 8.9|                    7.3|                 -9.5|                 32.9|</w:t>
      </w:r>
      <w:r>
        <w:br/>
      </w:r>
      <w:r>
        <w:rPr>
          <w:rStyle w:val="VerbatimChar"/>
        </w:rPr>
        <w:t xml:space="preserve">|2019         |FWx Chris Creek   |            1428.4|         0.48|                 7.5|                    7.2|                -13.7|                 31.9|</w:t>
      </w:r>
      <w:r>
        <w:br/>
      </w:r>
      <w:r>
        <w:rPr>
          <w:rStyle w:val="VerbatimChar"/>
        </w:rPr>
        <w:t xml:space="preserve">|2019         |FWx Martins Gulch |            1486.7|         0.35|                 8.4|                    6.9|                -12.7|                 30.5|</w:t>
      </w:r>
      <w:r>
        <w:br/>
      </w:r>
      <w:r>
        <w:rPr>
          <w:rStyle w:val="VerbatimChar"/>
        </w:rPr>
        <w:t xml:space="preserve">|Jan-Feb 2020 |FWx Chris Creek   |             837.2|         0.62|                 1.6|                    3.7|                 -9.6|                 10.5|</w:t>
      </w:r>
      <w:r>
        <w:br/>
      </w:r>
      <w:r>
        <w:rPr>
          <w:rStyle w:val="VerbatimChar"/>
        </w:rPr>
        <w:t xml:space="preserve">|Jan-Feb 2020 |FWx Martins Gulch |             930.4|         0.51|                 2.2|                    3.6|                 -9.3|                 11.2|</w:t>
      </w:r>
      <w:r>
        <w:br/>
      </w:r>
      <w:r>
        <w:br/>
      </w:r>
      <w:r>
        <w:rPr>
          <w:rStyle w:val="VerbatimChar"/>
        </w:rPr>
        <w:t xml:space="preserve">\  </w:t>
      </w:r>
    </w:p>
    <w:p>
      <w:pPr>
        <w:pStyle w:val="FirstParagraph"/>
      </w:pPr>
      <w:r>
        <w:t xml:space="preserve">Average LWSA weather data was calculated as arithmetic means from Chris Creek and Martin’s Gulch FWx stations data (Figure</w:t>
      </w:r>
      <w:r>
        <w:t xml:space="preserve"> </w:t>
      </w:r>
      <w:r>
        <w:t xml:space="preserve">4</w:t>
      </w:r>
      <w:r>
        <w:t xml:space="preserve">, Table</w:t>
      </w:r>
      <w:r>
        <w:t xml:space="preserve"> </w:t>
      </w:r>
      <w:r>
        <w:t xml:space="preserve">3</w:t>
      </w:r>
      <w:r>
        <w:t xml:space="preserve">). It was assumed that the arithmetic means of rainfall from these two FWx stations were representative of rain conditions across the Leech watershed (LWSA rain), and were used to define storm events that corresponded to vertical rack sample collection. Mean LWSA air temperature data were used in linear regression to estimate temperatures at each of the six monitoring sites for the period before temperature loggers were deployed. While snow melt contributed to runoff and river responses at the six LWSA monitoring sites, the CRD FWx stations are situated at elevation and therefore snow depth records were not assumed to be representative of snow cover across the LWSA and snow depth data were not included in event calculations, but were taken into consideration when delineating seasons.</w:t>
      </w:r>
    </w:p>
    <w:p>
      <w:pPr>
        <w:pStyle w:val="BodyText"/>
      </w:pPr>
      <w:r>
        <w:t xml:space="preserve"> </w:t>
      </w:r>
    </w:p>
    <w:p>
      <w:pPr>
        <w:pStyle w:val="CaptionedFigure"/>
      </w:pPr>
      <w:r>
        <w:drawing>
          <wp:inline>
            <wp:extent cx="5504749" cy="5504749"/>
            <wp:effectExtent b="0" l="0" r="0" t="0"/>
            <wp:docPr descr="Figure 4: Average weather from two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w:t>
      </w:r>
      <w:r>
        <w:t xml:space="preserve"> </w:t>
      </w:r>
      <w:r>
        <w:rPr>
          <w:i/>
        </w:rPr>
        <w:t xml:space="preserve">Average weather from two stations in the Leech water supply area, where the highlighted section indicates the study period.</w:t>
      </w:r>
    </w:p>
    <w:p>
      <w:pPr>
        <w:pStyle w:val="BodyText"/>
      </w:pPr>
      <w:r>
        <w:t xml:space="preserve"> </w:t>
      </w:r>
    </w:p>
    <w:p>
      <w:pPr>
        <w:pStyle w:val="TableCaption"/>
      </w:pPr>
      <w:r>
        <w:t xml:space="preserve">Table 3:</w:t>
      </w:r>
      <w:r>
        <w:t xml:space="preserve"> </w:t>
      </w:r>
      <w:r>
        <w:rPr>
          <w:i/>
        </w:rPr>
        <w:t xml:space="preserve">Average weather data from CRD stations in Leech water supply area in 2018, 2019, and the period of 2020 included in this project</w:t>
      </w:r>
    </w:p>
    <w:tbl>
      <w:tblPr>
        <w:tblStyle w:val="Table"/>
        <w:tblW w:type="pct" w:w="4999.999999999999"/>
        <w:tblLook w:firstRow="1"/>
        <w:tblCaption w:val="Table 3: Average weather data from CRD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8.50</w:t>
            </w:r>
          </w:p>
        </w:tc>
        <w:tc>
          <w:p>
            <w:pPr>
              <w:pStyle w:val="Compact"/>
              <w:jc w:val="right"/>
            </w:pPr>
            <w:r>
              <w:t xml:space="preserve">0.60</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7.93</w:t>
            </w:r>
          </w:p>
        </w:tc>
        <w:tc>
          <w:p>
            <w:pPr>
              <w:pStyle w:val="Compact"/>
              <w:jc w:val="right"/>
            </w:pPr>
            <w:r>
              <w:t xml:space="preserve">0.63</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1.92</w:t>
            </w:r>
          </w:p>
        </w:tc>
        <w:tc>
          <w:p>
            <w:pPr>
              <w:pStyle w:val="Compact"/>
              <w:jc w:val="right"/>
            </w:pPr>
            <w:r>
              <w:t xml:space="preserve">0.55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0.79</w:t>
            </w:r>
          </w:p>
        </w:tc>
        <w:tc>
          <w:p>
            <w:pPr>
              <w:pStyle w:val="Compact"/>
              <w:jc w:val="right"/>
            </w:pPr>
            <w:r>
              <w:t xml:space="preserve">0.71</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1.92</w:t>
            </w:r>
          </w:p>
        </w:tc>
        <w:tc>
          <w:p>
            <w:pPr>
              <w:pStyle w:val="Compact"/>
              <w:jc w:val="right"/>
            </w:pPr>
            <w:r>
              <w:t xml:space="preserve">0.40</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Heading6"/>
      </w:pPr>
      <w:bookmarkStart w:id="57" w:name="defining-seasons"/>
      <w:r>
        <w:t xml:space="preserve">Defining seasons</w:t>
      </w:r>
      <w:bookmarkEnd w:id="57"/>
    </w:p>
    <w:p>
      <w:pPr>
        <w:pStyle w:val="FirstParagraph"/>
      </w:pPr>
      <w:r>
        <w:t xml:space="preserve">The R package</w:t>
      </w:r>
      <w:r>
        <w:t xml:space="preserve"> </w:t>
      </w:r>
      <w:r>
        <w:rPr>
          <w:i/>
        </w:rPr>
        <w:t xml:space="preserve">Rainmaker</w:t>
      </w:r>
      <w:r>
        <w:t xml:space="preserve"> </w:t>
      </w:r>
      <w:r>
        <w:t xml:space="preserve">(USGS, github.com/USGS-R/Rainmaker) was used with LWSA rain data (average of Chris Creek and Martin’s Gulch FWx stations) to define events that corresponded to sampling campaigns and to distinguish between seasons. The pluvial hydroclimatic regime on the coast of BC is characterized by a predominantly wet season and dry season and while the dry season often includes periods of drought there is generally some rainfall throughout the entire year (Figure</w:t>
      </w:r>
      <w:r>
        <w:t xml:space="preserve"> </w:t>
      </w:r>
      <w:r>
        <w:t xml:space="preserve">4</w:t>
      </w:r>
      <w:r>
        <w:t xml:space="preserve">). For this research,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rainfall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rainfall response substantial enough for rack sampler collection.</w:t>
      </w:r>
    </w:p>
    <w:p>
      <w:pPr>
        <w:pStyle w:val="Heading3"/>
      </w:pPr>
      <w:bookmarkStart w:id="58" w:name="results"/>
      <w:r>
        <w:t xml:space="preserve">Results</w:t>
      </w:r>
      <w:bookmarkEnd w:id="58"/>
    </w:p>
    <w:p>
      <w:pPr>
        <w:pStyle w:val="FirstParagraph"/>
      </w:pPr>
      <w:r>
        <w:t xml:space="preserve">Over the sixteen-month field study, 426 river samples were collected and analyzed for DOC, and 318 of those samples were analyzed for NOM by UV-Vis (Table</w:t>
      </w:r>
      <w:r>
        <w:t xml:space="preserve"> </w:t>
      </w:r>
      <w:r>
        <w:t xml:space="preserve">4</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quality control checks (described below). UV-Vis data were reduced by 19.5% (to 256 samples): quality control resulted in a 9% reduction, with the additional 10.5% data loss unfortunately caused during instrument maintenance.</w:t>
      </w:r>
    </w:p>
    <w:p>
      <w:pPr>
        <w:pStyle w:val="BodyText"/>
      </w:pPr>
      <w:r>
        <w:t xml:space="preserve"> </w:t>
      </w:r>
    </w:p>
    <w:p>
      <w:pPr>
        <w:pStyle w:val="TableCaption"/>
      </w:pPr>
      <w:r>
        <w:t xml:space="preserve">Table 4:</w:t>
      </w:r>
      <w:r>
        <w:t xml:space="preserve"> </w:t>
      </w:r>
      <w:r>
        <w:rPr>
          <w:i/>
        </w:rPr>
        <w:t xml:space="preserve">Summary of samples collected</w:t>
      </w:r>
    </w:p>
    <w:tbl>
      <w:tblPr>
        <w:tblStyle w:val="Table"/>
        <w:tblW w:type="pct" w:w="5000.0"/>
        <w:tblLook w:firstRow="1"/>
        <w:tblCaption w:val="Table 4: Summary of samples collected"/>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Heading4"/>
      </w:pPr>
      <w:bookmarkStart w:id="59" w:name="vertical-rack-sampling-quality-control"/>
      <w:r>
        <w:t xml:space="preserve">Vertical rack sampling quality control</w:t>
      </w:r>
      <w:bookmarkEnd w:id="59"/>
    </w:p>
    <w:p>
      <w:pPr>
        <w:pStyle w:val="FirstParagraph"/>
      </w:pPr>
      <w:r>
        <w:t xml:space="preserve">Hold-time experiments were conducted at the Tunnel site to assess stability of river water samples held in siphon bottles on the vertical rack. Three sets of samples were used in hold-time experiments, each set included samples held on the rack for different periods and the timing and air temperatures for each set were assessed (Figure</w:t>
      </w:r>
      <w:r>
        <w:t xml:space="preserve"> </w:t>
      </w:r>
      <w:r>
        <w:t xml:space="preserve">5</w:t>
      </w:r>
      <w:r>
        <w:t xml:space="preserve">).</w:t>
      </w:r>
    </w:p>
    <w:p>
      <w:pPr>
        <w:pStyle w:val="BodyText"/>
      </w:pPr>
      <w:r>
        <w:t xml:space="preserve"> </w:t>
      </w:r>
    </w:p>
    <w:p>
      <w:pPr>
        <w:pStyle w:val="CaptionedFigure"/>
      </w:pPr>
      <w:r>
        <w:drawing>
          <wp:inline>
            <wp:extent cx="5504749" cy="5046020"/>
            <wp:effectExtent b="0" l="0" r="0" t="0"/>
            <wp:docPr descr="Figure 5: Plot of air temperature during vertical rack hold-time experiments. Red horizontal lines indicate the 0-7°C range of a typical laboratory refrigerator and dashed vertical lines separate the three sets of hold-time samples from collection of grab samples to retrieval of held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0"/>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5:</w:t>
      </w:r>
      <w:r>
        <w:t xml:space="preserve"> </w:t>
      </w:r>
      <w:r>
        <w:rPr>
          <w:i/>
        </w:rPr>
        <w:t xml:space="preserve">Plot of air temperature during vertical rack hold-time experiments. Red horizontal lines indicate the 0-7°C range of a typical laboratory refrigerator and dashed vertical lines separate the three sets of hold-time samples from collection of grab samples to retrieval of held samples.</w:t>
      </w:r>
    </w:p>
    <w:p>
      <w:pPr>
        <w:pStyle w:val="BodyText"/>
      </w:pPr>
      <w:r>
        <w:t xml:space="preserve"> </w:t>
      </w:r>
    </w:p>
    <w:p>
      <w:pPr>
        <w:pStyle w:val="BodyText"/>
      </w:pPr>
      <w:r>
        <w:t xml:space="preserve">Each hold-time set included ten replicate samples, each collected at the same time in the same way from the same location. For each hold-time set, five samples were returned to the lab for immediate quantification of DOC and measurement of UV-Vis absorbance (</w:t>
      </w:r>
      <w:r>
        <w:t xml:space="preserve">“</w:t>
      </w:r>
      <w:r>
        <w:t xml:space="preserve">fresh</w:t>
      </w:r>
      <w:r>
        <w:t xml:space="preserve">”</w:t>
      </w:r>
      <w:r>
        <w:t xml:space="preserve"> </w:t>
      </w:r>
      <w:r>
        <w:t xml:space="preserve">samples) and five were placed on the vertical rack, capped with siphon lids to simulate rack samples, and collected at a later date for analysis (</w:t>
      </w:r>
      <w:r>
        <w:t xml:space="preserve">“</w:t>
      </w:r>
      <w:r>
        <w:t xml:space="preserve">held</w:t>
      </w:r>
      <w:r>
        <w:t xml:space="preserve">”</w:t>
      </w:r>
      <w:r>
        <w:t xml:space="preserve"> </w:t>
      </w:r>
      <w:r>
        <w:t xml:space="preserve">samples). All samples were analyzed to quantify DOC and characterized NOM properties (Figure</w:t>
      </w:r>
      <w:r>
        <w:t xml:space="preserve"> </w:t>
      </w:r>
      <w:r>
        <w:t xml:space="preserve">6</w:t>
      </w:r>
      <w:r>
        <w:t xml:space="preserve">),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To err on the side of caution, a 90% confidence level was used to evaluate the comparisons between fresh and held samples. Results of hold-time comparisons considered the timing of sample collection, the number of days the rack samples were held, the mean air temperature over that period, and the percent change in analytical results (Table</w:t>
      </w:r>
      <w:r>
        <w:t xml:space="preserve"> </w:t>
      </w:r>
      <w:r>
        <w:t xml:space="preserve">5</w:t>
      </w:r>
      <w:r>
        <w:t xml:space="preserve">).</w:t>
      </w:r>
    </w:p>
    <w:p>
      <w:pPr>
        <w:pStyle w:val="BodyText"/>
      </w:pPr>
      <w:r>
        <w:t xml:space="preserve"> </w:t>
      </w:r>
    </w:p>
    <w:p>
      <w:pPr>
        <w:pStyle w:val="CaptionedFigure"/>
      </w:pPr>
      <w:r>
        <w:drawing>
          <wp:inline>
            <wp:extent cx="5504749" cy="6422207"/>
            <wp:effectExtent b="0" l="0" r="0" t="0"/>
            <wp:docPr descr="Figure 6: Sample DOC concentrations and UV absorbance at 254nm contrasting hold-time samples from collection of grab samples to retrieval of held samples."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1"/>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6:</w:t>
      </w:r>
      <w:r>
        <w:t xml:space="preserve"> </w:t>
      </w:r>
      <w:r>
        <w:rPr>
          <w:i/>
        </w:rPr>
        <w:t xml:space="preserve">Sample DOC concentrations and UV absorbance at 254nm contrasting hold-time samples from collection of grab samples to retrieval of held samples.</w:t>
      </w:r>
    </w:p>
    <w:p>
      <w:pPr>
        <w:pStyle w:val="BodyText"/>
      </w:pPr>
      <w:r>
        <w:t xml:space="preserve"> </w:t>
      </w:r>
    </w:p>
    <w:p>
      <w:pPr>
        <w:pStyle w:val="TableCaption"/>
      </w:pPr>
      <w:r>
        <w:t xml:space="preserve">Table 5:</w:t>
      </w:r>
      <w:r>
        <w:t xml:space="preserve"> </w:t>
      </w:r>
      <w:r>
        <w:rPr>
          <w:i/>
        </w:rPr>
        <w:t xml:space="preserve">Results comparing hold-time sample sets</w:t>
      </w:r>
    </w:p>
    <w:tbl>
      <w:tblPr>
        <w:tblStyle w:val="Table"/>
        <w:tblW w:type="pct" w:w="4999.999999999999"/>
        <w:tblLook w:firstRow="1"/>
        <w:tblCaption w:val="Table 5: Results comparing hold-time sample sets"/>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6</w:t>
      </w:r>
      <w:r>
        <w:t xml:space="preserve">, Table</w:t>
      </w:r>
      <w:r>
        <w:t xml:space="preserve"> </w:t>
      </w:r>
      <w:r>
        <w:t xml:space="preserve">5</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UV</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w:t>
      </w:r>
    </w:p>
    <w:p>
      <w:pPr>
        <w:pStyle w:val="BodyText"/>
      </w:pPr>
      <w:r>
        <w:t xml:space="preserve"> </w:t>
      </w:r>
    </w:p>
    <w:p>
      <w:pPr>
        <w:pStyle w:val="BodyText"/>
      </w:pPr>
      <w:r>
        <w:t xml:space="preserve">Results of these hold-time experiments suggest that early-season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w:t>
      </w:r>
    </w:p>
    <w:p>
      <w:pPr>
        <w:pStyle w:val="BodyText"/>
      </w:pPr>
      <w:r>
        <w:t xml:space="preserve"> </w:t>
      </w:r>
    </w:p>
    <w:p>
      <w:pPr>
        <w:pStyle w:val="BodyText"/>
      </w:pPr>
      <w:r>
        <w:t xml:space="preserve">Hold-times were calculated for each sample as the time between sample collection and analysis. Any Rack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w:t>
      </w:r>
    </w:p>
    <w:p>
      <w:pPr>
        <w:pStyle w:val="BodyText"/>
      </w:pPr>
      <w:r>
        <w:t xml:space="preserve"> </w:t>
      </w:r>
    </w:p>
    <w:p>
      <w:pPr>
        <w:pStyle w:val="BodyText"/>
      </w:pPr>
      <w:r>
        <w:t xml:space="preserve">Temperatures at each monitoring site were measured and recorded with Hobo TidbiT loggers from 2019-08-24 to 2020-02-18 (field study end), and temperatures prior to TidbiT deployment were estimated by linear regression (Appendix ###). QA/QC flags were used to filter sample data, reducing the effective number of samples included in results by less than 10% (Table</w:t>
      </w:r>
      <w:r>
        <w:t xml:space="preserve"> </w:t>
      </w:r>
      <w:r>
        <w:t xml:space="preserve">4</w:t>
      </w:r>
      <w:r>
        <w:t xml:space="preserve">).</w:t>
      </w:r>
    </w:p>
    <w:p>
      <w:pPr>
        <w:pStyle w:val="Heading4"/>
      </w:pPr>
      <w:bookmarkStart w:id="62" w:name="season-delineation"/>
      <w:r>
        <w:t xml:space="preserve">Season delineation</w:t>
      </w:r>
      <w:bookmarkEnd w:id="62"/>
    </w:p>
    <w:p>
      <w:pPr>
        <w:pStyle w:val="FirstParagraph"/>
      </w:pPr>
      <w:r>
        <w:t xml:space="preserve">Wet seasons were defined by conditions that generated significant stream responses and rack sample collection, and the dry season was defined by baseflow conditions where precipitation did not generate detectable stream responses at the vertical racks.</w:t>
      </w:r>
    </w:p>
    <w:p>
      <w:pPr>
        <w:pStyle w:val="BodyText"/>
      </w:pPr>
      <w:r>
        <w:t xml:space="preserve"> </w:t>
      </w:r>
    </w:p>
    <w:p>
      <w:pPr>
        <w:pStyle w:val="BodyText"/>
      </w:pPr>
      <w:r>
        <w:t xml:space="preserve">LWSA rain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which determined there were 151 total rain events during the study period, with 18 classified as major events that corresponded to vertical rack sample collection (Table</w:t>
      </w:r>
      <w:r>
        <w:t xml:space="preserve"> </w:t>
      </w:r>
      <w:r>
        <w:t xml:space="preserve">6</w:t>
      </w:r>
      <w:r>
        <w:t xml:space="preserve">). The conditions that defined major rain events were: precipitation accumulating to 50 mm or more, with a period of at least 14 hours passing between 50 mm events.</w:t>
      </w:r>
    </w:p>
    <w:p>
      <w:pPr>
        <w:pStyle w:val="BodyText"/>
      </w:pPr>
      <w:r>
        <w:t xml:space="preserve"> </w:t>
      </w:r>
    </w:p>
    <w:p>
      <w:pPr>
        <w:pStyle w:val="TableCaption"/>
      </w:pPr>
      <w:r>
        <w:t xml:space="preserve">Table 6:</w:t>
      </w:r>
      <w:r>
        <w:t xml:space="preserve"> </w:t>
      </w:r>
      <w:r>
        <w:rPr>
          <w:i/>
        </w:rPr>
        <w:t xml:space="preserve">Rain events defined by a threshold of 50mm with 14-hour inter-event period</w:t>
      </w:r>
    </w:p>
    <w:tbl>
      <w:tblPr>
        <w:tblStyle w:val="Table"/>
        <w:tblW w:type="pct" w:w="5000.0"/>
        <w:tblLook w:firstRow="1"/>
        <w:tblCaption w:val="Table 6: Rain events defined by a threshold of 50mm with 14-hour inter-event period"/>
      </w:tblPr>
      <w:tblGrid>
        <w:gridCol w:w="1170"/>
        <w:gridCol w:w="1440"/>
        <w:gridCol w:w="990"/>
        <w:gridCol w:w="1440"/>
        <w:gridCol w:w="1260"/>
        <w:gridCol w:w="1620"/>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t xml:space="preserve"> </w:t>
      </w:r>
    </w:p>
    <w:p>
      <w:pPr>
        <w:pStyle w:val="BodyText"/>
      </w:pPr>
      <w:r>
        <w:t xml:space="preserve">As major rain events were defined based on rack sampling responses, they were the primary method of delineating seasons, where the wet season was defined by the presence of major rain events and the dry season was defined by their absence. However, there was a period of surprising snowfall in the winter of 2018/2019, during which time rainfall runoff subsided but the eventual melt generated streamflow response across the monitoring sites. Therefore, that period of snow accumulation and melt was included when defining wet seasons, despite the lack of major rain events (Figure</w:t>
      </w:r>
      <w:r>
        <w:t xml:space="preserve"> </w:t>
      </w:r>
      <w:r>
        <w:t xml:space="preserve">7</w:t>
      </w:r>
      <w:r>
        <w:t xml:space="preserve">).</w:t>
      </w:r>
    </w:p>
    <w:p>
      <w:pPr>
        <w:pStyle w:val="BodyText"/>
      </w:pPr>
      <w:r>
        <w:t xml:space="preserve"> </w:t>
      </w:r>
    </w:p>
    <w:p>
      <w:pPr>
        <w:pStyle w:val="CaptionedFigure"/>
      </w:pPr>
      <w:r>
        <w:drawing>
          <wp:inline>
            <wp:extent cx="5943600" cy="7330439"/>
            <wp:effectExtent b="0" l="0" r="0" t="0"/>
            <wp:docPr descr="Figure 7: Plot of LWSA weather, stream response and sample collection at the six monitoring sites across the LWSA. Seasons were separated by stream responses and conditions that initiated or ceased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63"/>
                    <a:stretch>
                      <a:fillRect/>
                    </a:stretch>
                  </pic:blipFill>
                  <pic:spPr bwMode="auto">
                    <a:xfrm>
                      <a:off x="0" y="0"/>
                      <a:ext cx="5943600" cy="7330439"/>
                    </a:xfrm>
                    <a:prstGeom prst="rect">
                      <a:avLst/>
                    </a:prstGeom>
                    <a:noFill/>
                    <a:ln w="9525">
                      <a:noFill/>
                      <a:headEnd/>
                      <a:tailEnd/>
                    </a:ln>
                  </pic:spPr>
                </pic:pic>
              </a:graphicData>
            </a:graphic>
          </wp:inline>
        </w:drawing>
      </w:r>
    </w:p>
    <w:p>
      <w:pPr>
        <w:pStyle w:val="ImageCaption"/>
      </w:pPr>
      <w:r>
        <w:t xml:space="preserve">Figure 7:</w:t>
      </w:r>
      <w:r>
        <w:t xml:space="preserve"> </w:t>
      </w:r>
      <w:r>
        <w:rPr>
          <w:i/>
        </w:rPr>
        <w:t xml:space="preserve">Plot of LWSA weather, stream response and sample collection at the six monitoring sites across the LWSA. Seasons were separated by stream responses and conditions that initiated or ceased rack sample collection.</w:t>
      </w:r>
    </w:p>
    <w:p>
      <w:pPr>
        <w:pStyle w:val="Heading4"/>
      </w:pPr>
      <w:bookmarkStart w:id="64" w:name="spatial-patterns"/>
      <w:r>
        <w:t xml:space="preserve">Spatial patterns</w:t>
      </w:r>
      <w:bookmarkEnd w:id="64"/>
    </w:p>
    <w:p>
      <w:pPr>
        <w:pStyle w:val="FirstParagraph"/>
      </w:pPr>
      <w:r>
        <w:t xml:space="preserve">Twelve river sites across the Leech and Sooke water supply areas (Figure</w:t>
      </w:r>
      <w:r>
        <w:t xml:space="preserve"> </w:t>
      </w:r>
      <w:r>
        <w:t xml:space="preserve">2</w:t>
      </w:r>
      <w:r>
        <w:t xml:space="preserve">) were sampled synoptically over the sixteen-month study period for quantification of DOC and assessment of NOM. Among these sites, several comparisons can be made: cross-basin, from LWSA to SWSA; upstream to downstream; nested catchments and sampling methods.</w:t>
      </w:r>
    </w:p>
    <w:p>
      <w:pPr>
        <w:pStyle w:val="BodyText"/>
      </w:pPr>
      <w:r>
        <w:t xml:space="preserve">Mean DOC concentrations were similar when comparing across basins from the current source water tributaries, Rithet and Judge Creeks, to the future supplemental supply, Leech River at the Tunnel (Table</w:t>
      </w:r>
      <w:r>
        <w:t xml:space="preserve"> </w:t>
      </w:r>
      <w:r>
        <w:t xml:space="preserve">7</w:t>
      </w:r>
      <w:r>
        <w:t xml:space="preserve">). From upstream to downstream sites there was an overall decreasing trend for DOC concentrations and NOM aromaticity and/or molecular size (Figure</w:t>
      </w:r>
      <w:r>
        <w:t xml:space="preserve"> </w:t>
      </w:r>
      <w:r>
        <w:t xml:space="preserve">8</w:t>
      </w:r>
      <w:r>
        <w:t xml:space="preserve">).</w:t>
      </w:r>
    </w:p>
    <w:p>
      <w:pPr>
        <w:pStyle w:val="BodyText"/>
      </w:pPr>
      <w:r>
        <w:t xml:space="preserve"> </w:t>
      </w:r>
    </w:p>
    <w:p>
      <w:pPr>
        <w:pStyle w:val="TableCaption"/>
      </w:pPr>
      <w:r>
        <w:t xml:space="preserve">Table 7:</w:t>
      </w:r>
      <w:r>
        <w:t xml:space="preserve"> </w:t>
      </w:r>
      <w:r>
        <w:rPr>
          <w:i/>
        </w:rPr>
        <w:t xml:space="preserve">Dissolved organic carbon concentrations across twelve synoptically sampled river sites</w:t>
      </w:r>
    </w:p>
    <w:tbl>
      <w:tblPr>
        <w:tblStyle w:val="Table"/>
        <w:tblW w:type="pct" w:w="5000.0"/>
        <w:tblLook w:firstRow="1"/>
        <w:tblCaption w:val="Table 7: Dissolved organic carbon concentrations across twelve synoptically sampled river sites"/>
      </w:tblPr>
      <w:tblGrid>
        <w:gridCol w:w="905"/>
        <w:gridCol w:w="3394"/>
        <w:gridCol w:w="452"/>
        <w:gridCol w:w="603"/>
        <w:gridCol w:w="452"/>
        <w:gridCol w:w="301"/>
        <w:gridCol w:w="528"/>
        <w:gridCol w:w="754"/>
        <w:gridCol w:w="52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DOCmean</w:t>
            </w:r>
          </w:p>
        </w:tc>
        <w:tc>
          <w:tcPr>
            <w:tcBorders>
              <w:bottom w:val="single"/>
            </w:tcBorders>
            <w:vAlign w:val="bottom"/>
          </w:tcPr>
          <w:p>
            <w:pPr>
              <w:pStyle w:val="Compact"/>
              <w:jc w:val="right"/>
            </w:pPr>
            <w:r>
              <w:t xml:space="preserve">DOCsd</w:t>
            </w:r>
          </w:p>
        </w:tc>
        <w:tc>
          <w:tcPr>
            <w:tcBorders>
              <w:bottom w:val="single"/>
            </w:tcBorders>
            <w:vAlign w:val="bottom"/>
          </w:tcPr>
          <w:p>
            <w:pPr>
              <w:pStyle w:val="Compact"/>
              <w:jc w:val="right"/>
            </w:pPr>
            <w:r>
              <w:t xml:space="preserve">RSD</w:t>
            </w:r>
          </w:p>
        </w:tc>
        <w:tc>
          <w:tcPr>
            <w:tcBorders>
              <w:bottom w:val="single"/>
            </w:tcBorders>
            <w:vAlign w:val="bottom"/>
          </w:tcPr>
          <w:p>
            <w:pPr>
              <w:pStyle w:val="Compact"/>
              <w:jc w:val="right"/>
            </w:pPr>
            <w:r>
              <w:t xml:space="preserve">DOCmin</w:t>
            </w:r>
          </w:p>
        </w:tc>
        <w:tc>
          <w:tcPr>
            <w:tcBorders>
              <w:bottom w:val="single"/>
            </w:tcBorders>
            <w:vAlign w:val="bottom"/>
          </w:tcPr>
          <w:p>
            <w:pPr>
              <w:pStyle w:val="Compact"/>
              <w:jc w:val="right"/>
            </w:pPr>
            <w:r>
              <w:t xml:space="preserve">DOCmedian</w:t>
            </w:r>
          </w:p>
        </w:tc>
        <w:tc>
          <w:tcPr>
            <w:tcBorders>
              <w:bottom w:val="single"/>
            </w:tcBorders>
            <w:vAlign w:val="bottom"/>
          </w:tcPr>
          <w:p>
            <w:pPr>
              <w:pStyle w:val="Compact"/>
              <w:jc w:val="right"/>
            </w:pPr>
            <w:r>
              <w:t xml:space="preserve">DOCmax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CaptionedFigure"/>
      </w:pPr>
      <w:r>
        <w:drawing>
          <wp:inline>
            <wp:extent cx="5943600" cy="9144000"/>
            <wp:effectExtent b="0" l="0" r="0" t="0"/>
            <wp:docPr descr="Figure 8:  Comparison of results from synoptic grab sampling at upstream locations to results from both vertical rack and grab sampling below the confluence of upstream sites." title="" id="1" name="Picture"/>
            <a:graphic>
              <a:graphicData uri="http://schemas.openxmlformats.org/drawingml/2006/picture">
                <pic:pic>
                  <pic:nvPicPr>
                    <pic:cNvPr descr="R-outputs_UBC-forWater-MSc_HMc/figures/Ch1_boxplot_allParams-allSites-allSamples.png" id="0" name="Picture"/>
                    <pic:cNvPicPr>
                      <a:picLocks noChangeArrowheads="1" noChangeAspect="1"/>
                    </pic:cNvPicPr>
                  </pic:nvPicPr>
                  <pic:blipFill>
                    <a:blip r:embed="rId65"/>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rPr>
          <w:i/>
        </w:rPr>
        <w:t xml:space="preserve">Comparison of results from synoptic grab sampling at upstream locations to results from both vertical rack and grab sampling below the confluence of upstream sites.</w:t>
      </w:r>
    </w:p>
    <w:p>
      <w:pPr>
        <w:pStyle w:val="BodyText"/>
      </w:pPr>
      <w:r>
        <w:t xml:space="preserve"> </w:t>
      </w:r>
    </w:p>
    <w:p>
      <w:pPr>
        <w:pStyle w:val="BodyText"/>
      </w:pPr>
      <w:r>
        <w:t xml:space="preserve">With respect to sampling methods among nested catchments of the Leech watershed, three comparisons were made to asses whether Rack sampling at a downstream site captured the same range in DOC concentration as synoptic grab sampling at upstream sites (Figure</w:t>
      </w:r>
      <w:r>
        <w:t xml:space="preserve"> </w:t>
      </w:r>
      <w:r>
        <w:t xml:space="preserve">9</w:t>
      </w:r>
      <w:r>
        <w:t xml:space="preserve">).</w:t>
      </w:r>
    </w:p>
    <w:p>
      <w:pPr>
        <w:pStyle w:val="BodyText"/>
      </w:pPr>
      <w:r>
        <w:t xml:space="preserve"> </w:t>
      </w:r>
    </w:p>
    <w:p>
      <w:pPr>
        <w:pStyle w:val="BodyText"/>
      </w:pPr>
      <w:r>
        <w:drawing>
          <wp:inline>
            <wp:extent cx="5504749" cy="5504749"/>
            <wp:effectExtent b="0" l="0" r="0" t="0"/>
            <wp:docPr descr="Figure 9:  Synoptic sampling results of dissolved organic carbon concentrations from 13 sites over 16 months (201 grab samples)." title="" id="1" name="Picture"/>
            <a:graphic>
              <a:graphicData uri="http://schemas.openxmlformats.org/drawingml/2006/picture">
                <pic:pic>
                  <pic:nvPicPr>
                    <pic:cNvPr descr="R-outputs_UBC-forWater-MSc_HMc/figures/Ch1_DOC-boxplot_up-down_metcompar.png" id="0" name="Picture"/>
                    <pic:cNvPicPr>
                      <a:picLocks noChangeArrowheads="1" noChangeAspect="1"/>
                    </pic:cNvPicPr>
                  </pic:nvPicPr>
                  <pic:blipFill>
                    <a:blip r:embed="rId66"/>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r>
        <w:t xml:space="preserve"> </w:t>
      </w:r>
    </w:p>
    <w:p>
      <w:pPr>
        <w:pStyle w:val="BodyText"/>
      </w:pPr>
      <w:r>
        <w:t xml:space="preserve">Synoptic Grab samples from the headwater sites of Weeks and Chris Creeks were compared to all samples (Rack and Grab) from below their confluence at LeechHead site (Figure</w:t>
      </w:r>
      <w:r>
        <w:t xml:space="preserve"> </w:t>
      </w:r>
      <w:r>
        <w:t xml:space="preserve">9</w:t>
      </w:r>
      <w:r>
        <w:t xml:space="preserve">, plot A). Similarly, Grab samples collected at the headwater of Cragg Creek, Jarvis and Lazar creeks, were compared to all samples at the CraggCrk monitoring site (Figure</w:t>
      </w:r>
      <w:r>
        <w:t xml:space="preserve"> </w:t>
      </w:r>
      <w:r>
        <w:t xml:space="preserve">9</w:t>
      </w:r>
      <w:r>
        <w:t xml:space="preserve">, plot B). Note that there was a greater distance between CraggCrk site and its headwaters’ sampling locations compared to LeechHead and its headwaters’ locations. In these comparisons, the range in DOC observed in grab samples alone at the upstream sites was not obtained by combining Rack and Grab samples below their confluences. However, when higher order rivers were examined in a similar comparison, the combination of Rack and Grab samples at the mainstem (Leech Tunnel) captured the DOC range observed in Grab samples alone at the sites upstream (Figure</w:t>
      </w:r>
      <w:r>
        <w:t xml:space="preserve"> </w:t>
      </w:r>
      <w:r>
        <w:t xml:space="preserve">9</w:t>
      </w:r>
      <w:r>
        <w:t xml:space="preserve">, plot C).</w:t>
      </w:r>
    </w:p>
    <w:p>
      <w:pPr>
        <w:pStyle w:val="Heading5"/>
      </w:pPr>
      <w:bookmarkStart w:id="67" w:name="X67b9c51c035a4a93f62827ce669b7ccb19b252f"/>
      <w:r>
        <w:t xml:space="preserve">UPDATE Spatial variance in DOC concentrations</w:t>
      </w:r>
      <w:bookmarkEnd w:id="67"/>
    </w:p>
    <w:p>
      <w:pPr>
        <w:pStyle w:val="FirstParagraph"/>
      </w:pPr>
      <w:r>
        <w:t xml:space="preserve">Sampling of the six research sites was achieved through a combination of vertical rack sampling and synoptic grab sampling. The number of river samples passively collected on vertical racks more than doubled the number of river samples collected by standard grab sampling. Vertical racks collected river samples on the rising hydrograph limb, which has been shown to have higher DOC concentration that non-storm flow</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 </w:t>
      </w:r>
      <w:r>
        <w:t xml:space="preserve">and can be difficult or dangerous to capture by standard grab sampling, particularly across multiple sites.</w:t>
      </w:r>
    </w:p>
    <w:p>
      <w:pPr>
        <w:pStyle w:val="BodyText"/>
      </w:pPr>
      <w:r>
        <w:t xml:space="preserve">Indeed, samples with maximum DOC concentrations were captured by vertical racks at five of the six sites, with the exception of Leech River head (</w:t>
      </w:r>
      <w:r>
        <w:rPr>
          <w:i/>
        </w:rPr>
        <w:t xml:space="preserve">‘</w:t>
      </w:r>
      <w:r>
        <w:rPr>
          <w:i/>
        </w:rPr>
        <w:t xml:space="preserve">LeechHead</w:t>
      </w:r>
      <w:r>
        <w:rPr>
          <w:i/>
        </w:rPr>
        <w:t xml:space="preserve">’</w:t>
      </w:r>
      <w:r>
        <w:t xml:space="preserve">, site 3) where peak DOC happened to be collected as a Grab sample (Table</w:t>
      </w:r>
      <w:r>
        <w:t xml:space="preserve"> </w:t>
      </w:r>
      <w:r>
        <w:t xml:space="preserve">8</w:t>
      </w:r>
      <w:r>
        <w:t xml:space="preserve">).</w:t>
      </w:r>
    </w:p>
    <w:p>
      <w:pPr>
        <w:pStyle w:val="BodyText"/>
      </w:pPr>
      <w:r>
        <w:t xml:space="preserve"> </w:t>
      </w:r>
    </w:p>
    <w:p>
      <w:pPr>
        <w:pStyle w:val="TableCaption"/>
      </w:pPr>
      <w:r>
        <w:t xml:space="preserve">Table 8:</w:t>
      </w:r>
      <w:r>
        <w:t xml:space="preserve"> </w:t>
      </w:r>
      <w:r>
        <w:rPr>
          <w:i/>
        </w:rPr>
        <w:t xml:space="preserve">Summary of DOC across the six LWSA installation sites including breakdown of sample type collected.</w:t>
      </w:r>
    </w:p>
    <w:tbl>
      <w:tblPr>
        <w:tblStyle w:val="Table"/>
        <w:tblW w:type="pct" w:w="4999.999999999999"/>
        <w:tblLook w:firstRow="1"/>
        <w:tblCaption w:val="Table 8: Summary of DOC across the six LWSA installation sites including breakdown of sample type collected."/>
      </w:tblPr>
      <w:tblGrid>
        <w:gridCol w:w="688"/>
        <w:gridCol w:w="826"/>
        <w:gridCol w:w="895"/>
        <w:gridCol w:w="1101"/>
        <w:gridCol w:w="1101"/>
        <w:gridCol w:w="688"/>
        <w:gridCol w:w="826"/>
        <w:gridCol w:w="964"/>
        <w:gridCol w:w="8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21</w:t>
            </w:r>
          </w:p>
        </w:tc>
        <w:tc>
          <w:p>
            <w:pPr>
              <w:pStyle w:val="Compact"/>
              <w:jc w:val="right"/>
            </w:pPr>
            <w:r>
              <w:t xml:space="preserve">9.5</w:t>
            </w:r>
          </w:p>
        </w:tc>
        <w:tc>
          <w:p>
            <w:pPr>
              <w:pStyle w:val="Compact"/>
              <w:jc w:val="right"/>
            </w:pPr>
            <w:r>
              <w:t xml:space="preserve">3.0</w:t>
            </w:r>
          </w:p>
        </w:tc>
        <w:tc>
          <w:p>
            <w:pPr>
              <w:pStyle w:val="Compact"/>
              <w:jc w:val="right"/>
            </w:pPr>
            <w:r>
              <w:t xml:space="preserve">31</w:t>
            </w:r>
          </w:p>
        </w:tc>
        <w:tc>
          <w:p>
            <w:pPr>
              <w:pStyle w:val="Compact"/>
              <w:jc w:val="right"/>
            </w:pPr>
            <w:r>
              <w:t xml:space="preserve">6.38</w:t>
            </w:r>
          </w:p>
        </w:tc>
        <w:tc>
          <w:p>
            <w:pPr>
              <w:pStyle w:val="Compact"/>
              <w:jc w:val="right"/>
            </w:pPr>
            <w:r>
              <w:t xml:space="preserve">9.02</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w:t>
            </w:r>
          </w:p>
        </w:tc>
        <w:tc>
          <w:p>
            <w:pPr>
              <w:pStyle w:val="Compact"/>
              <w:jc w:val="right"/>
            </w:pPr>
            <w:r>
              <w:t xml:space="preserve">3.7</w:t>
            </w:r>
          </w:p>
        </w:tc>
        <w:tc>
          <w:p>
            <w:pPr>
              <w:pStyle w:val="Compact"/>
              <w:jc w:val="right"/>
            </w:pPr>
            <w:r>
              <w:t xml:space="preserve">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19</w:t>
            </w:r>
          </w:p>
        </w:tc>
        <w:tc>
          <w:p>
            <w:pPr>
              <w:pStyle w:val="Compact"/>
              <w:jc w:val="right"/>
            </w:pPr>
            <w:r>
              <w:t xml:space="preserve">4.2</w:t>
            </w:r>
          </w:p>
        </w:tc>
        <w:tc>
          <w:p>
            <w:pPr>
              <w:pStyle w:val="Compact"/>
              <w:jc w:val="right"/>
            </w:pPr>
            <w:r>
              <w:t xml:space="preserve">2.3</w:t>
            </w:r>
          </w:p>
        </w:tc>
        <w:tc>
          <w:p>
            <w:pPr>
              <w:pStyle w:val="Compact"/>
              <w:jc w:val="right"/>
            </w:pPr>
            <w:r>
              <w:t xml:space="preserve">54</w:t>
            </w:r>
          </w:p>
        </w:tc>
        <w:tc>
          <w:p>
            <w:pPr>
              <w:pStyle w:val="Compact"/>
              <w:jc w:val="right"/>
            </w:pPr>
            <w:r>
              <w:t xml:space="preserve">1.84</w:t>
            </w:r>
          </w:p>
        </w:tc>
        <w:tc>
          <w:p>
            <w:pPr>
              <w:pStyle w:val="Compact"/>
              <w:jc w:val="right"/>
            </w:pPr>
            <w:r>
              <w:t xml:space="preserve">3.33</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w:t>
            </w:r>
          </w:p>
        </w:tc>
        <w:tc>
          <w:p>
            <w:pPr>
              <w:pStyle w:val="Compact"/>
              <w:jc w:val="right"/>
            </w:pPr>
            <w:r>
              <w:t xml:space="preserve">1.7</w:t>
            </w:r>
          </w:p>
        </w:tc>
        <w:tc>
          <w:p>
            <w:pPr>
              <w:pStyle w:val="Compact"/>
              <w:jc w:val="right"/>
            </w:pPr>
            <w:r>
              <w:t xml:space="preserve">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19</w:t>
            </w:r>
          </w:p>
        </w:tc>
        <w:tc>
          <w:p>
            <w:pPr>
              <w:pStyle w:val="Compact"/>
              <w:jc w:val="right"/>
            </w:pPr>
            <w:r>
              <w:t xml:space="preserve">6.8</w:t>
            </w:r>
          </w:p>
        </w:tc>
        <w:tc>
          <w:p>
            <w:pPr>
              <w:pStyle w:val="Compact"/>
              <w:jc w:val="right"/>
            </w:pPr>
            <w:r>
              <w:t xml:space="preserve">1.7</w:t>
            </w:r>
          </w:p>
        </w:tc>
        <w:tc>
          <w:p>
            <w:pPr>
              <w:pStyle w:val="Compact"/>
              <w:jc w:val="right"/>
            </w:pPr>
            <w:r>
              <w:t xml:space="preserve">25</w:t>
            </w:r>
          </w:p>
        </w:tc>
        <w:tc>
          <w:p>
            <w:pPr>
              <w:pStyle w:val="Compact"/>
              <w:jc w:val="right"/>
            </w:pPr>
            <w:r>
              <w:t xml:space="preserve">3.99</w:t>
            </w:r>
          </w:p>
        </w:tc>
        <w:tc>
          <w:p>
            <w:pPr>
              <w:pStyle w:val="Compact"/>
              <w:jc w:val="right"/>
            </w:pPr>
            <w:r>
              <w:t xml:space="preserve">6.19</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w:t>
            </w:r>
          </w:p>
        </w:tc>
        <w:tc>
          <w:p>
            <w:pPr>
              <w:pStyle w:val="Compact"/>
              <w:jc w:val="right"/>
            </w:pPr>
            <w:r>
              <w:t xml:space="preserve">1.7</w:t>
            </w:r>
          </w:p>
        </w:tc>
        <w:tc>
          <w:p>
            <w:pPr>
              <w:pStyle w:val="Compact"/>
              <w:jc w:val="right"/>
            </w:pPr>
            <w:r>
              <w:t xml:space="preserve">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30</w:t>
            </w:r>
          </w:p>
        </w:tc>
        <w:tc>
          <w:p>
            <w:pPr>
              <w:pStyle w:val="Compact"/>
              <w:jc w:val="right"/>
            </w:pPr>
            <w:r>
              <w:t xml:space="preserve">4.1</w:t>
            </w:r>
          </w:p>
        </w:tc>
        <w:tc>
          <w:p>
            <w:pPr>
              <w:pStyle w:val="Compact"/>
              <w:jc w:val="right"/>
            </w:pPr>
            <w:r>
              <w:t xml:space="preserve">1.3</w:t>
            </w:r>
          </w:p>
        </w:tc>
        <w:tc>
          <w:p>
            <w:pPr>
              <w:pStyle w:val="Compact"/>
              <w:jc w:val="right"/>
            </w:pPr>
            <w:r>
              <w:t xml:space="preserve">32</w:t>
            </w:r>
          </w:p>
        </w:tc>
        <w:tc>
          <w:p>
            <w:pPr>
              <w:pStyle w:val="Compact"/>
              <w:jc w:val="right"/>
            </w:pPr>
            <w:r>
              <w:t xml:space="preserve">1.79</w:t>
            </w:r>
          </w:p>
        </w:tc>
        <w:tc>
          <w:p>
            <w:pPr>
              <w:pStyle w:val="Compact"/>
              <w:jc w:val="right"/>
            </w:pPr>
            <w:r>
              <w:t xml:space="preserve">3.74</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5.3</w:t>
            </w:r>
          </w:p>
        </w:tc>
        <w:tc>
          <w:p>
            <w:pPr>
              <w:pStyle w:val="Compact"/>
              <w:jc w:val="right"/>
            </w:pPr>
            <w:r>
              <w:t xml:space="preserve">1.5</w:t>
            </w:r>
          </w:p>
        </w:tc>
        <w:tc>
          <w:p>
            <w:pPr>
              <w:pStyle w:val="Compact"/>
              <w:jc w:val="right"/>
            </w:pPr>
            <w:r>
              <w:t xml:space="preserve">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21</w:t>
            </w:r>
          </w:p>
        </w:tc>
        <w:tc>
          <w:p>
            <w:pPr>
              <w:pStyle w:val="Compact"/>
              <w:jc w:val="right"/>
            </w:pPr>
            <w:r>
              <w:t xml:space="preserve">4.3</w:t>
            </w:r>
          </w:p>
        </w:tc>
        <w:tc>
          <w:p>
            <w:pPr>
              <w:pStyle w:val="Compact"/>
              <w:jc w:val="right"/>
            </w:pPr>
            <w:r>
              <w:t xml:space="preserve">1.8</w:t>
            </w:r>
          </w:p>
        </w:tc>
        <w:tc>
          <w:p>
            <w:pPr>
              <w:pStyle w:val="Compact"/>
              <w:jc w:val="right"/>
            </w:pPr>
            <w:r>
              <w:t xml:space="preserve">42</w:t>
            </w:r>
          </w:p>
        </w:tc>
        <w:tc>
          <w:p>
            <w:pPr>
              <w:pStyle w:val="Compact"/>
              <w:jc w:val="right"/>
            </w:pPr>
            <w:r>
              <w:t xml:space="preserve">2.00</w:t>
            </w:r>
          </w:p>
        </w:tc>
        <w:tc>
          <w:p>
            <w:pPr>
              <w:pStyle w:val="Compact"/>
              <w:jc w:val="right"/>
            </w:pPr>
            <w:r>
              <w:t xml:space="preserve">4.23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6.7</w:t>
            </w:r>
          </w:p>
        </w:tc>
        <w:tc>
          <w:p>
            <w:pPr>
              <w:pStyle w:val="Compact"/>
              <w:jc w:val="right"/>
            </w:pPr>
            <w:r>
              <w:t xml:space="preserve">2.2</w:t>
            </w:r>
          </w:p>
        </w:tc>
        <w:tc>
          <w:p>
            <w:pPr>
              <w:pStyle w:val="Compact"/>
              <w:jc w:val="right"/>
            </w:pPr>
            <w:r>
              <w:t xml:space="preserve">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38</w:t>
            </w:r>
          </w:p>
        </w:tc>
        <w:tc>
          <w:p>
            <w:pPr>
              <w:pStyle w:val="Compact"/>
              <w:jc w:val="right"/>
            </w:pPr>
            <w:r>
              <w:t xml:space="preserve">4.2</w:t>
            </w:r>
          </w:p>
        </w:tc>
        <w:tc>
          <w:p>
            <w:pPr>
              <w:pStyle w:val="Compact"/>
              <w:jc w:val="right"/>
            </w:pPr>
            <w:r>
              <w:t xml:space="preserve">1.7</w:t>
            </w:r>
          </w:p>
        </w:tc>
        <w:tc>
          <w:p>
            <w:pPr>
              <w:pStyle w:val="Compact"/>
              <w:jc w:val="right"/>
            </w:pPr>
            <w:r>
              <w:t xml:space="preserve">41</w:t>
            </w:r>
          </w:p>
        </w:tc>
        <w:tc>
          <w:p>
            <w:pPr>
              <w:pStyle w:val="Compact"/>
              <w:jc w:val="right"/>
            </w:pPr>
            <w:r>
              <w:t xml:space="preserve">1.65</w:t>
            </w:r>
          </w:p>
        </w:tc>
        <w:tc>
          <w:p>
            <w:pPr>
              <w:pStyle w:val="Compact"/>
              <w:jc w:val="right"/>
            </w:pPr>
            <w:r>
              <w:t xml:space="preserve">3.71</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w:t>
            </w:r>
          </w:p>
        </w:tc>
        <w:tc>
          <w:p>
            <w:pPr>
              <w:pStyle w:val="Compact"/>
              <w:jc w:val="right"/>
            </w:pPr>
            <w:r>
              <w:t xml:space="preserve">1.7</w:t>
            </w:r>
          </w:p>
        </w:tc>
        <w:tc>
          <w:p>
            <w:pPr>
              <w:pStyle w:val="Compact"/>
              <w:jc w:val="right"/>
            </w:pPr>
            <w:r>
              <w:t xml:space="preserve">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r>
      <w:tr>
        <w:tc>
          <w:p>
            <w:pPr>
              <w:pStyle w:val="Compact"/>
              <w:jc w:val="left"/>
            </w:pPr>
            <w:r>
              <w:t xml:space="preserve">All sites</w:t>
            </w:r>
          </w:p>
        </w:tc>
        <w:tc>
          <w:p>
            <w:pPr>
              <w:pStyle w:val="Compact"/>
              <w:jc w:val="left"/>
            </w:pPr>
            <w:r>
              <w:t xml:space="preserve">Grab</w:t>
            </w:r>
          </w:p>
        </w:tc>
        <w:tc>
          <w:p>
            <w:pPr>
              <w:pStyle w:val="Compact"/>
              <w:jc w:val="right"/>
            </w:pPr>
            <w:r>
              <w:t xml:space="preserve">148</w:t>
            </w:r>
          </w:p>
        </w:tc>
        <w:tc>
          <w:p>
            <w:pPr>
              <w:pStyle w:val="Compact"/>
              <w:jc w:val="right"/>
            </w:pPr>
            <w:r>
              <w:t xml:space="preserve">5.3</w:t>
            </w:r>
          </w:p>
        </w:tc>
        <w:tc>
          <w:p>
            <w:pPr>
              <w:pStyle w:val="Compact"/>
              <w:jc w:val="right"/>
            </w:pPr>
            <w:r>
              <w:t xml:space="preserve">2.7</w:t>
            </w:r>
          </w:p>
        </w:tc>
        <w:tc>
          <w:p>
            <w:pPr>
              <w:pStyle w:val="Compact"/>
              <w:jc w:val="right"/>
            </w:pPr>
            <w:r>
              <w:t xml:space="preserve">52</w:t>
            </w:r>
          </w:p>
        </w:tc>
        <w:tc>
          <w:p>
            <w:pPr>
              <w:pStyle w:val="Compact"/>
              <w:jc w:val="right"/>
            </w:pPr>
            <w:r>
              <w:t xml:space="preserve">1.65</w:t>
            </w:r>
          </w:p>
        </w:tc>
        <w:tc>
          <w:p>
            <w:pPr>
              <w:pStyle w:val="Compact"/>
              <w:jc w:val="right"/>
            </w:pPr>
            <w:r>
              <w:t xml:space="preserve">4.77</w:t>
            </w:r>
          </w:p>
        </w:tc>
        <w:tc>
          <w:p>
            <w:pPr>
              <w:pStyle w:val="Compact"/>
              <w:jc w:val="right"/>
            </w:pPr>
            <w:r>
              <w:t xml:space="preserve">18.74</w:t>
            </w:r>
          </w:p>
        </w:tc>
      </w:tr>
      <w:tr>
        <w:tc>
          <w:p>
            <w:pPr>
              <w:pStyle w:val="Compact"/>
              <w:jc w:val="left"/>
            </w:pPr>
            <w:r>
              <w:t xml:space="preserve">All sites</w:t>
            </w:r>
          </w:p>
        </w:tc>
        <w:tc>
          <w:p>
            <w:pPr>
              <w:pStyle w:val="Compact"/>
              <w:jc w:val="left"/>
            </w:pPr>
            <w:r>
              <w:t xml:space="preserve">Rack</w:t>
            </w:r>
          </w:p>
        </w:tc>
        <w:tc>
          <w:p>
            <w:pPr>
              <w:pStyle w:val="Compact"/>
              <w:jc w:val="right"/>
            </w:pPr>
            <w:r>
              <w:t xml:space="preserve">170</w:t>
            </w:r>
          </w:p>
        </w:tc>
        <w:tc>
          <w:p>
            <w:pPr>
              <w:pStyle w:val="Compact"/>
              <w:jc w:val="right"/>
            </w:pPr>
            <w:r>
              <w:t xml:space="preserve">6.8</w:t>
            </w:r>
          </w:p>
        </w:tc>
        <w:tc>
          <w:p>
            <w:pPr>
              <w:pStyle w:val="Compact"/>
              <w:jc w:val="right"/>
            </w:pPr>
            <w:r>
              <w:t xml:space="preserve">2.8</w:t>
            </w:r>
          </w:p>
        </w:tc>
        <w:tc>
          <w:p>
            <w:pPr>
              <w:pStyle w:val="Compact"/>
              <w:jc w:val="right"/>
            </w:pPr>
            <w:r>
              <w:t xml:space="preserve">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318</w:t>
            </w:r>
          </w:p>
        </w:tc>
        <w:tc>
          <w:p>
            <w:pPr>
              <w:pStyle w:val="Compact"/>
              <w:jc w:val="right"/>
            </w:pPr>
            <w:r>
              <w:t xml:space="preserve">6.1</w:t>
            </w:r>
          </w:p>
        </w:tc>
        <w:tc>
          <w:p>
            <w:pPr>
              <w:pStyle w:val="Compact"/>
              <w:jc w:val="right"/>
            </w:pPr>
            <w:r>
              <w:t xml:space="preserve">2.9</w:t>
            </w:r>
          </w:p>
        </w:tc>
        <w:tc>
          <w:p>
            <w:pPr>
              <w:pStyle w:val="Compact"/>
              <w:jc w:val="right"/>
            </w:pPr>
            <w:r>
              <w:t xml:space="preserve">47</w:t>
            </w:r>
          </w:p>
        </w:tc>
        <w:tc>
          <w:p>
            <w:pPr>
              <w:pStyle w:val="Compact"/>
              <w:jc w:val="right"/>
            </w:pPr>
            <w:r>
              <w:t xml:space="preserve">1.65</w:t>
            </w:r>
          </w:p>
        </w:tc>
        <w:tc>
          <w:p>
            <w:pPr>
              <w:pStyle w:val="Compact"/>
              <w:jc w:val="right"/>
            </w:pPr>
            <w:r>
              <w:t xml:space="preserve">5.65</w:t>
            </w:r>
          </w:p>
        </w:tc>
        <w:tc>
          <w:p>
            <w:pPr>
              <w:pStyle w:val="Compact"/>
              <w:jc w:val="right"/>
            </w:pPr>
            <w:r>
              <w:t xml:space="preserve">19.07</w:t>
            </w:r>
          </w:p>
        </w:tc>
      </w:tr>
    </w:tbl>
    <w:p>
      <w:pPr>
        <w:pStyle w:val="BodyText"/>
      </w:pPr>
      <w:r>
        <w:t xml:space="preserve"> </w:t>
      </w:r>
    </w:p>
    <w:p>
      <w:pPr>
        <w:pStyle w:val="BodyText"/>
      </w:pPr>
      <w:r>
        <w:t xml:space="preserve">Figure</w:t>
      </w:r>
      <w:r>
        <w:t xml:space="preserve"> </w:t>
      </w:r>
      <w:r>
        <w:t xml:space="preserve">10</w:t>
      </w:r>
      <w:r>
        <w:t xml:space="preserve"> </w:t>
      </w:r>
      <w:r>
        <w:t xml:space="preserve">shows the distribution of DOC concentrations at each of the six sites. Highest concentrations and variance in DOC occurred at the Weeks Main creek headwater site (</w:t>
      </w:r>
      <w:r>
        <w:rPr>
          <w:i/>
        </w:rPr>
        <w:t xml:space="preserve">‘</w:t>
      </w:r>
      <w:r>
        <w:rPr>
          <w:i/>
        </w:rPr>
        <w:t xml:space="preserve">Weeks</w:t>
      </w:r>
      <w:r>
        <w:rPr>
          <w:i/>
        </w:rPr>
        <w:t xml:space="preserve">’</w:t>
      </w:r>
      <w:r>
        <w:t xml:space="preserve">, site 1), a sub-basin in the northwest of the Leech watershed which includes Weeks Lake and surrounding wetlands. Lowest average concentration and variance in DOC was recorded at Cragg Creek (</w:t>
      </w:r>
      <w:r>
        <w:rPr>
          <w:i/>
        </w:rPr>
        <w:t xml:space="preserve">‘</w:t>
      </w:r>
      <w:r>
        <w:rPr>
          <w:i/>
        </w:rPr>
        <w:t xml:space="preserve">CraggCrk</w:t>
      </w:r>
      <w:r>
        <w:rPr>
          <w:i/>
        </w:rPr>
        <w:t xml:space="preserve">’</w:t>
      </w:r>
      <w:r>
        <w:t xml:space="preserve">, site 4), a mainstem river that drains the east sub-basin of the Leech watershed, including Jarvis Lake and the western slopes of Survey Mountain. DOC concentration and variance at Leech River Tunnel (</w:t>
      </w:r>
      <w:r>
        <w:rPr>
          <w:i/>
        </w:rPr>
        <w:t xml:space="preserve">‘</w:t>
      </w:r>
      <w:r>
        <w:rPr>
          <w:i/>
        </w:rPr>
        <w:t xml:space="preserve">Tunnel</w:t>
      </w:r>
      <w:r>
        <w:rPr>
          <w:i/>
        </w:rPr>
        <w:t xml:space="preserve">’</w:t>
      </w:r>
      <w:r>
        <w:t xml:space="preserve">, site 6) was similar to CraggCrk.</w:t>
      </w:r>
    </w:p>
    <w:p>
      <w:pPr>
        <w:pStyle w:val="BodyText"/>
      </w:pPr>
      <w:r>
        <w:t xml:space="preserve"> </w:t>
      </w:r>
    </w:p>
    <w:p>
      <w:pPr>
        <w:pStyle w:val="CaptionedFigure"/>
      </w:pPr>
      <w:r>
        <w:drawing>
          <wp:inline>
            <wp:extent cx="4587290" cy="3669832"/>
            <wp:effectExtent b="0" l="0" r="0" t="0"/>
            <wp:docPr descr="Figure 10: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DOC_subbasin_boxplots.png" id="0" name="Picture"/>
                    <pic:cNvPicPr>
                      <a:picLocks noChangeArrowheads="1" noChangeAspect="1"/>
                    </pic:cNvPicPr>
                  </pic:nvPicPr>
                  <pic:blipFill>
                    <a:blip r:embed="rId6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Table</w:t>
      </w:r>
      <w:r>
        <w:t xml:space="preserve"> </w:t>
      </w:r>
      <w:r>
        <w:t xml:space="preserve">9</w:t>
      </w:r>
      <w:r>
        <w:t xml:space="preserve"> </w:t>
      </w:r>
      <w:r>
        <w:t xml:space="preserve">summarizes the range and variability in DOC within each site and among all sites, with categorical groupings of sub-basins.</w:t>
      </w:r>
    </w:p>
    <w:p>
      <w:pPr>
        <w:pStyle w:val="BodyText"/>
      </w:pPr>
      <w:r>
        <w:t xml:space="preserve"> </w:t>
      </w:r>
    </w:p>
    <w:p>
      <w:pPr>
        <w:pStyle w:val="TableCaption"/>
      </w:pPr>
      <w:r>
        <w:t xml:space="preserve">Table 9:</w:t>
      </w:r>
      <w:r>
        <w:t xml:space="preserve"> </w:t>
      </w:r>
      <w:r>
        <w:rPr>
          <w:i/>
        </w:rPr>
        <w:t xml:space="preserve">Summary of DOC across the six LWSA research sites with each nested catchment classified by basin type.</w:t>
      </w:r>
    </w:p>
    <w:tbl>
      <w:tblPr>
        <w:tblStyle w:val="Table"/>
        <w:tblW w:type="pct" w:w="5000.0"/>
        <w:tblLook w:firstRow="1"/>
        <w:tblCaption w:val="Table 9: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69"/>
      </w:r>
    </w:p>
    <w:p>
      <w:pPr>
        <w:pStyle w:val="BodyText"/>
      </w:pPr>
      <w:r>
        <w:t xml:space="preserve">To identify which pairs of sites had equal DOC variance Levene’s test was applied to sample DOC results. Table</w:t>
      </w:r>
      <w:r>
        <w:t xml:space="preserve"> </w:t>
      </w:r>
      <w:r>
        <w:t xml:space="preserve">10</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of these heteroscedastic sub-basins drain the west side of LWSA.</w:t>
      </w:r>
    </w:p>
    <w:p>
      <w:pPr>
        <w:pStyle w:val="BodyText"/>
      </w:pPr>
      <w:r>
        <w:t xml:space="preserve"> </w:t>
      </w:r>
    </w:p>
    <w:p>
      <w:pPr>
        <w:pStyle w:val="TableCaption"/>
      </w:pPr>
      <w:r>
        <w:t xml:space="preserve">Table 10:</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10: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4"/>
      </w:pPr>
      <w:bookmarkStart w:id="70" w:name="temporal-patterns"/>
      <w:r>
        <w:t xml:space="preserve">Temporal patterns</w:t>
      </w:r>
      <w:bookmarkEnd w:id="70"/>
    </w:p>
    <w:p>
      <w:pPr>
        <w:pStyle w:val="FirstParagraph"/>
      </w:pPr>
      <w:r>
        <w:t xml:space="preserve">Over the study period, DOC concentrations followed similar trends across each of the six LWSA monitoring sites (Figure</w:t>
      </w:r>
      <w:r>
        <w:t xml:space="preserve"> </w:t>
      </w:r>
      <w:r>
        <w:t xml:space="preserve">11</w:t>
      </w:r>
      <w:r>
        <w:t xml:space="preserve">). DOC was highest early in the wet season and progressively decreased through the fall and winter, reaching minimum concentrations in the spring before progressively increasing again through the summer.</w:t>
      </w:r>
    </w:p>
    <w:p>
      <w:pPr>
        <w:pStyle w:val="BodyText"/>
      </w:pPr>
      <w:r>
        <w:t xml:space="preserve"> </w:t>
      </w:r>
    </w:p>
    <w:p>
      <w:pPr>
        <w:pStyle w:val="CaptionedFigure"/>
      </w:pPr>
      <w:r>
        <w:drawing>
          <wp:inline>
            <wp:extent cx="5504749" cy="5504749"/>
            <wp:effectExtent b="0" l="0" r="0" t="0"/>
            <wp:docPr descr="Figure 11:  Trends in dissolved organic carbon concentrations over sixteen months (Oct 2018 to Feb 2020) at six sites across the Leech water supply area (n = 323: 153 grab samples, 170 vertical rack samples. Trend line represents locally weighted smoothing (loess,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7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rPr>
          <w:i/>
        </w:rPr>
        <w:t xml:space="preserve">Trends in dissolved organic carbon concentrations over sixteen months (Oct 2018 to Feb 2020) at six sites across the Leech water supply area (n = 323: 153 grab samples, 170 vertical rack samples. Trend line represents locally weighted smoothing (loess, local polynomial regression).</w:t>
      </w:r>
    </w:p>
    <w:p>
      <w:pPr>
        <w:pStyle w:val="BodyText"/>
      </w:pPr>
      <w:r>
        <w:t xml:space="preserve"> </w:t>
      </w:r>
    </w:p>
    <w:p>
      <w:pPr>
        <w:pStyle w:val="BodyText"/>
      </w:pPr>
      <w:r>
        <w:t xml:space="preserve">Overall, there was very little difference between mean DOC concentration through the wet season (6.2 ± 3 mg/L) compared to the dry season (5.5 ± 3 mg/L). However, there were far fewer samples collected in the dry season than during the wet season (Figure</w:t>
      </w:r>
      <w:r>
        <w:t xml:space="preserve"> </w:t>
      </w:r>
      <w:r>
        <w:t xml:space="preserve">12</w:t>
      </w:r>
      <w:r>
        <w:t xml:space="preserve">).</w:t>
      </w:r>
    </w:p>
    <w:p>
      <w:pPr>
        <w:pStyle w:val="BodyText"/>
      </w:pPr>
      <w:r>
        <w:t xml:space="preserve"> </w:t>
      </w:r>
    </w:p>
    <w:p>
      <w:pPr>
        <w:pStyle w:val="CaptionedFigure"/>
      </w:pPr>
      <w:r>
        <w:drawing>
          <wp:inline>
            <wp:extent cx="4587290" cy="3669832"/>
            <wp:effectExtent b="0" l="0" r="0" t="0"/>
            <wp:docPr descr="Figure 12:  Boxplots of DOC concentrations at six LWSA sites during dry (n = 34) and wet (n = 90) seasons." title="" id="1" name="Picture"/>
            <a:graphic>
              <a:graphicData uri="http://schemas.openxmlformats.org/drawingml/2006/picture">
                <pic:pic>
                  <pic:nvPicPr>
                    <pic:cNvPr descr="R-outputs_UBC-forWater-MSc_HMc/figures/DOC_seasonal-subbasin_boxplots_2.png" id="0" name="Picture"/>
                    <pic:cNvPicPr>
                      <a:picLocks noChangeArrowheads="1" noChangeAspect="1"/>
                    </pic:cNvPicPr>
                  </pic:nvPicPr>
                  <pic:blipFill>
                    <a:blip r:embed="rId7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rPr>
          <w:i/>
        </w:rPr>
        <w:t xml:space="preserve">Boxplots of DOC concentrations at six LWSA sites during dry (n = 34) and wet (n = 90) seasons.</w:t>
      </w:r>
    </w:p>
    <w:p>
      <w:pPr>
        <w:pStyle w:val="Compact"/>
        <w:numPr>
          <w:numId w:val="1002"/>
          <w:ilvl w:val="0"/>
        </w:numPr>
      </w:pPr>
      <w:r>
        <w:t xml:space="preserve">these patterns were consistent // or not // across all</w:t>
      </w:r>
      <w:r>
        <w:t xml:space="preserve"> </w:t>
      </w:r>
      <w:r>
        <w:rPr>
          <w:b/>
        </w:rPr>
        <w:t xml:space="preserve">12 synoptic sampling sites</w:t>
      </w:r>
    </w:p>
    <w:p>
      <w:pPr>
        <w:pStyle w:val="Heading5"/>
      </w:pPr>
      <w:bookmarkStart w:id="73" w:name="seasonal-patterns-in-nom-character"/>
      <w:r>
        <w:t xml:space="preserve">Seasonal patterns in NOM character</w:t>
      </w:r>
      <w:bookmarkEnd w:id="73"/>
    </w:p>
    <w:p>
      <w:pPr>
        <w:pStyle w:val="FirstParagraph"/>
      </w:pPr>
      <w:r>
        <w:t xml:space="preserve">Molecular aromaticity is associated with chromophores which are responsible for UV-Vis absorbance in aqueous NOM, therefore more aromatic NOM molecules (e.g., humic substances) will absorb more energy at 254 nm wavelength than less-aromatic molecules. To evaluate if and when molecular character of river samples may have shifted, DOC concentrations (NPOC) were compared to absorbance-based DOC estimates (Figure</w:t>
      </w:r>
      <w:r>
        <w:t xml:space="preserve"> </w:t>
      </w:r>
      <w:r>
        <w:t xml:space="preserve">13</w:t>
      </w:r>
      <w:r>
        <w:t xml:space="preserve">).</w:t>
      </w:r>
    </w:p>
    <w:p>
      <w:pPr>
        <w:pStyle w:val="BodyText"/>
      </w:pPr>
      <w:r>
        <w:t xml:space="preserve"> </w:t>
      </w:r>
    </w:p>
    <w:p>
      <w:pPr>
        <w:pStyle w:val="CaptionedFigure"/>
      </w:pPr>
      <w:r>
        <w:drawing>
          <wp:inline>
            <wp:extent cx="4587290" cy="4587290"/>
            <wp:effectExtent b="0" l="0" r="0" t="0"/>
            <wp:docPr descr="Figure 13:  Dissolved organic carbon measured directly (as NPOC) plotted against concentrations estimated via UV-Vis spectroscopy, with a dashed lined indicating best fit (1:1). The 276 samples are grouped by season (nwet = 210, nfirst-flush = 15, ndry = 27)." title="" id="1" name="Picture"/>
            <a:graphic>
              <a:graphicData uri="http://schemas.openxmlformats.org/drawingml/2006/picture">
                <pic:pic>
                  <pic:nvPicPr>
                    <pic:cNvPr descr="R-outputs_UBC-forWater-MSc_HMc/figures/DOC_seasonal_surrogate-NPOC.png" id="0" name="Picture"/>
                    <pic:cNvPicPr>
                      <a:picLocks noChangeArrowheads="1" noChangeAspect="1"/>
                    </pic:cNvPicPr>
                  </pic:nvPicPr>
                  <pic:blipFill>
                    <a:blip r:embed="rId74"/>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rPr>
          <w:i/>
        </w:rPr>
        <w:t xml:space="preserve">Dissolved organic carbon measured directly (as NPOC) plotted against concentrations estimated via UV-Vis spectroscopy, with a dashed lined indicating best fit (1:1). The 276 samples are grouped by season (n</w:t>
      </w:r>
      <w:r>
        <w:rPr>
          <w:vertAlign w:val="subscript"/>
          <w:i/>
        </w:rPr>
        <w:t xml:space="preserve">wet</w:t>
      </w:r>
      <w:r>
        <w:rPr>
          <w:i/>
        </w:rPr>
        <w:t xml:space="preserve"> </w:t>
      </w:r>
      <w:r>
        <w:rPr>
          <w:i/>
        </w:rPr>
        <w:t xml:space="preserve">= 210, n</w:t>
      </w:r>
      <w:r>
        <w:rPr>
          <w:vertAlign w:val="subscript"/>
          <w:i/>
        </w:rPr>
        <w:t xml:space="preserve">first-flush</w:t>
      </w:r>
      <w:r>
        <w:rPr>
          <w:i/>
        </w:rPr>
        <w:t xml:space="preserve"> </w:t>
      </w:r>
      <w:r>
        <w:rPr>
          <w:i/>
        </w:rPr>
        <w:t xml:space="preserve">= 15, n</w:t>
      </w:r>
      <w:r>
        <w:rPr>
          <w:vertAlign w:val="subscript"/>
          <w:i/>
        </w:rPr>
        <w:t xml:space="preserve">dry</w:t>
      </w:r>
      <w:r>
        <w:rPr>
          <w:i/>
        </w:rPr>
        <w:t xml:space="preserve"> </w:t>
      </w:r>
      <w:r>
        <w:rPr>
          <w:i/>
        </w:rPr>
        <w:t xml:space="preserve">= 27).</w:t>
      </w:r>
    </w:p>
    <w:p>
      <w:pPr>
        <w:pStyle w:val="BodyText"/>
      </w:pPr>
      <w:r>
        <w:t xml:space="preserve"> </w:t>
      </w:r>
    </w:p>
    <w:p>
      <w:pPr>
        <w:pStyle w:val="BodyText"/>
      </w:pPr>
      <w:r>
        <w:t xml:space="preserve">Characteristics of wet-season samples caused positive bias in absorbance-based DOC estimates, while dry-season sample characteristics lead to negative bias in UV-based DOC estimates. The separation of wet and dry season samples suggests that river NOM had more aromatic character (more humic-like or allochthonous NOM) during the wet-season than during the dry-season.</w:t>
      </w:r>
    </w:p>
    <w:p>
      <w:pPr>
        <w:pStyle w:val="BodyText"/>
      </w:pPr>
      <w:r>
        <w:t xml:space="preserve"> </w:t>
      </w:r>
    </w:p>
    <w:p>
      <w:pPr>
        <w:pStyle w:val="BodyText"/>
      </w:pPr>
      <w:r>
        <w:t xml:space="preserve">While an aromatic NOM sample will have stronger absorbance at 254 nm relative to a non-aromatic sample, the concentration of NOM is also proportional to the intensity of absorbance (based on the Beer-Lambert law) which is why specific UV absorbance at 254 nm (SUVA</w:t>
      </w:r>
      <w:r>
        <w:rPr>
          <w:vertAlign w:val="subscript"/>
        </w:rPr>
        <w:t xml:space="preserve">254</w:t>
      </w:r>
      <w:r>
        <w:t xml:space="preserve">) is a widely adopted indicator of a samples aromaticity.</w:t>
      </w:r>
    </w:p>
    <w:p>
      <w:pPr>
        <w:pStyle w:val="BodyText"/>
      </w:pPr>
      <w:r>
        <w:t xml:space="preserve">Comparing seasonally grouped DOC and SUVA</w:t>
      </w:r>
      <w:r>
        <w:rPr>
          <w:vertAlign w:val="subscript"/>
        </w:rPr>
        <w:t xml:space="preserve">254</w:t>
      </w:r>
      <w:r>
        <w:t xml:space="preserve"> </w:t>
      </w:r>
      <w:r>
        <w:t xml:space="preserve">(Figure</w:t>
      </w:r>
      <w:r>
        <w:t xml:space="preserve"> </w:t>
      </w:r>
      <w:r>
        <w:t xml:space="preserve">14</w:t>
      </w:r>
      <w:r>
        <w:t xml:space="preserve">), indicated a greater aromatic character in river water samples during the wet season compared to the dry season.</w:t>
      </w:r>
    </w:p>
    <w:p>
      <w:pPr>
        <w:pStyle w:val="BodyText"/>
      </w:pPr>
      <w:r>
        <w:t xml:space="preserve"> </w:t>
      </w:r>
    </w:p>
    <w:p>
      <w:pPr>
        <w:pStyle w:val="CaptionedFigure"/>
      </w:pPr>
      <w:r>
        <w:drawing>
          <wp:inline>
            <wp:extent cx="4587290" cy="3211103"/>
            <wp:effectExtent b="0" l="0" r="0" t="0"/>
            <wp:docPr descr="Figure 14:  Dissolved organic carbon plotted against specific UV absorbance at 254 nm (SUVA{254}) with samples (n = 282) grouped by season (n{wet} = 237, n{first-flush} = 18, n{dry} = 27) showing greater aromaticity (more humic-like organic matter) in wet season samples." title="" id="1" name="Picture"/>
            <a:graphic>
              <a:graphicData uri="http://schemas.openxmlformats.org/drawingml/2006/picture">
                <pic:pic>
                  <pic:nvPicPr>
                    <pic:cNvPr descr="R-outputs_UBC-forWater-MSc_HMc/figures/DOC_seasonal_SUVA-NPOC.png" id="0" name="Picture"/>
                    <pic:cNvPicPr>
                      <a:picLocks noChangeArrowheads="1" noChangeAspect="1"/>
                    </pic:cNvPicPr>
                  </pic:nvPicPr>
                  <pic:blipFill>
                    <a:blip r:embed="rId75"/>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rPr>
          <w:i/>
        </w:rPr>
        <w:t xml:space="preserve">Dissolved organic carbon plotted against specific UV absorbance at 254 nm (SUVA{254}) with samples (n = 282) grouped by season (n{wet} = 237, n{first-flush} = 18, n{dry} = 27) showing greater aromaticity (more humic-like organic matter) in wet season samples.</w:t>
      </w:r>
    </w:p>
    <w:p>
      <w:pPr>
        <w:pStyle w:val="BodyText"/>
      </w:pPr>
      <w:r>
        <w:t xml:space="preserve"> </w:t>
      </w:r>
    </w:p>
    <w:p>
      <w:pPr>
        <w:pStyle w:val="Heading3"/>
      </w:pPr>
      <w:bookmarkStart w:id="76" w:name="discussion"/>
      <w:r>
        <w:t xml:space="preserve">Discussion</w:t>
      </w:r>
      <w:bookmarkEnd w:id="76"/>
    </w:p>
    <w:p>
      <w:pPr>
        <w:pStyle w:val="Heading3"/>
      </w:pPr>
      <w:bookmarkStart w:id="77" w:name="conclusions-and-future-directions"/>
      <w:r>
        <w:t xml:space="preserve">Conclusions and future directions</w:t>
      </w:r>
      <w:bookmarkEnd w:id="77"/>
    </w:p>
    <w:p>
      <w:pPr>
        <w:pStyle w:val="Heading2"/>
      </w:pPr>
      <w:bookmarkStart w:id="78" w:name="Xe4de491459c50dccfd0097fa75967c3c9e9c50e"/>
      <w:r>
        <w:t xml:space="preserve">Hydrochemcial dynamics: river, DOC &amp; NOM event responses</w:t>
      </w:r>
      <w:bookmarkEnd w:id="78"/>
    </w:p>
    <w:p>
      <w:pPr>
        <w:pStyle w:val="Heading3"/>
      </w:pPr>
      <w:bookmarkStart w:id="79" w:name="introduction"/>
      <w:r>
        <w:t xml:space="preserve">Introduction</w:t>
      </w:r>
      <w:bookmarkEnd w:id="79"/>
    </w:p>
    <w:p>
      <w:pPr>
        <w:pStyle w:val="FirstParagraph"/>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Heading3"/>
      </w:pPr>
      <w:bookmarkStart w:id="80" w:name="watershed-processes-and-water-quality"/>
      <w:r>
        <w:t xml:space="preserve">Watershed processes and water quality</w:t>
      </w:r>
      <w:bookmarkEnd w:id="8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land-use,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with respect to DBPs, dictates the quality of treated water</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Water quality parameters exhibit natural variability across watersheds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fluvial DOC transport is important for water treatment considerations; treatment infrastructure can be designed and adjusted to handle a range of source water conditions, but rapid changes and dramatic variations in source water quality pose major challenges for drinking water treatment.</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 </w:t>
      </w:r>
      <w:r>
        <w:rPr>
          <w:i/>
        </w:rPr>
        <w:t xml:space="preserve">add more refs</w:t>
      </w:r>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Changing climatic conditions are likely to lead to increases in hydrologic pulse generation – through increased precipitation, earlier or more intense freshet conditions, or changes in subsurface flow and connectivity [@ ?</w:t>
      </w:r>
      <w:r>
        <w:t xml:space="preserve"> </w:t>
      </w:r>
      <w:r>
        <w:rPr>
          <w:i/>
        </w:rPr>
        <w:t xml:space="preserve">refs</w:t>
      </w:r>
      <w:r>
        <w:t xml:space="preserve">]– it follows that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are highly dependent on catchment attributes and hydrologic forces. Understanding the hydrochemistry of a water supply area is key to conducting informed preventative forest management applications.</w:t>
      </w:r>
    </w:p>
    <w:p>
      <w:pPr>
        <w:pStyle w:val="Heading3"/>
      </w:pPr>
      <w:bookmarkStart w:id="81" w:name="methods"/>
      <w:r>
        <w:t xml:space="preserve">Methods</w:t>
      </w:r>
      <w:bookmarkEnd w:id="81"/>
    </w:p>
    <w:p>
      <w:pPr>
        <w:pStyle w:val="FirstParagraph"/>
      </w:pPr>
      <w:r>
        <w:t xml:space="preserve">Additionally, time-stamps of event-based samples were used to inform stage-concentration relationships (Chapter 3).</w:t>
      </w:r>
    </w:p>
    <w:p>
      <w:pPr>
        <w:pStyle w:val="BodyText"/>
      </w:pPr>
      <w:r>
        <w:rPr>
          <w:i/>
          <w:b/>
        </w:rPr>
        <w:t xml:space="preserve">discussion point</w:t>
      </w:r>
      <w:r>
        <w:t xml:space="preserve"> </w:t>
      </w:r>
      <w:r>
        <w:t xml:space="preserve">…</w:t>
      </w:r>
      <w:r>
        <w:t xml:space="preserve"> </w:t>
      </w:r>
      <w:r>
        <w:t xml:space="preserve">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r>
        <w:t xml:space="preserve"> </w:t>
      </w:r>
      <w:r>
        <w:t xml:space="preserve">…</w:t>
      </w:r>
    </w:p>
    <w:p>
      <w:pPr>
        <w:pStyle w:val="BodyText"/>
      </w:pPr>
      <w:r>
        <w:t xml:space="preserve">Additionally, event-based river samples collected near-simultaneously at sites across a watershed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Heading4"/>
      </w:pPr>
      <w:bookmarkStart w:id="82" w:name="monitoring-sites"/>
      <w:r>
        <w:t xml:space="preserve">Monitoring sites</w:t>
      </w:r>
      <w:bookmarkEnd w:id="82"/>
    </w:p>
    <w:p>
      <w:pPr>
        <w:pStyle w:val="FirstParagraph"/>
      </w:pPr>
      <w:r>
        <w:t xml:space="preserve">Six locations across the Leech Water Supply Area (LWSA) were set up as monitoring sites where vertical racks were installed to measure continuous stage and collect water samples as the rivers rose in response to precipitation events. Figure</w:t>
      </w:r>
      <w:r>
        <w:t xml:space="preserve"> </w:t>
      </w:r>
      <w:r>
        <w:t xml:space="preserve">18</w:t>
      </w:r>
      <w:r>
        <w:t xml:space="preserve"> </w:t>
      </w:r>
      <w:r>
        <w:t xml:space="preserve">shows major precipitation events and stream response over the study period as well as the timing and stage of samples collected.</w:t>
      </w:r>
    </w:p>
    <w:p>
      <w:pPr>
        <w:pStyle w:val="BodyText"/>
      </w:pPr>
      <w:r>
        <w:t xml:space="preserve">(Figure</w:t>
      </w:r>
      <w:r>
        <w:t xml:space="preserve"> </w:t>
      </w:r>
      <w:r>
        <w:t xml:space="preserve">15</w:t>
      </w:r>
      <w:r>
        <w:t xml:space="preserve">).</w:t>
      </w:r>
    </w:p>
    <w:p>
      <w:pPr>
        <w:pStyle w:val="BodyText"/>
      </w:pPr>
      <w:r>
        <w:t xml:space="preserve">The sub-basins represent important portions of the Leech River system: two headwater streams (Weeks and Chris Creek, sites 1 &amp; 2), the head of Leech River below the confluence of the two headwater streams (site 3), two mainstem rivers that feed the Leech (Cragg Creek and West Leech, sites 4 &amp; 5). Site 6 was located at the Leech River Tunnel and the drainage area included the entire LWSA.</w:t>
      </w:r>
    </w:p>
    <w:p>
      <w:pPr>
        <w:pStyle w:val="BodyText"/>
      </w:pPr>
      <w:r>
        <w:t xml:space="preserve"> </w:t>
      </w:r>
    </w:p>
    <w:p>
      <w:pPr>
        <w:pStyle w:val="CaptionedFigure"/>
      </w:pPr>
      <w:r>
        <w:drawing>
          <wp:inline>
            <wp:extent cx="5943600" cy="5976414"/>
            <wp:effectExtent b="0" l="0" r="0" t="0"/>
            <wp:docPr descr="Figure 15:  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3"/>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rPr>
          <w:i/>
        </w:rPr>
        <w:t xml:space="preserve">Research sites in the Leech Water Supply Area.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water supply area boundary is delineated in red.</w:t>
      </w:r>
    </w:p>
    <w:p>
      <w:pPr>
        <w:pStyle w:val="Heading5"/>
      </w:pPr>
      <w:bookmarkStart w:id="84" w:name="watershed-characteristics"/>
      <w:r>
        <w:t xml:space="preserve">Watershed characteristics</w:t>
      </w:r>
      <w:bookmarkEnd w:id="84"/>
    </w:p>
    <w:p>
      <w:pPr>
        <w:pStyle w:val="FirstParagraph"/>
      </w:pPr>
      <w:r>
        <w:t xml:space="preserve">Six of the synoptic sampling sites were selected for more intensive monitoring. These sites represent the drainage area upstream of a future diversion at the Leech River Tunnel, and five sub-basins nested within the Leech Tunnel catchment</w:t>
      </w:r>
    </w:p>
    <w:p>
      <w:pPr>
        <w:pStyle w:val="BodyText"/>
      </w:pPr>
      <w:r>
        <w:t xml:space="preserve">Weeks Creek (site 1), had the greatest proportion of wetland and open water compared to the other sub-basins (Table</w:t>
      </w:r>
      <w:r>
        <w:t xml:space="preserve"> </w:t>
      </w:r>
      <w:r>
        <w:t xml:space="preserve">11</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11:</w:t>
      </w:r>
      <w:r>
        <w:t xml:space="preserve"> </w:t>
      </w:r>
      <w:r>
        <w:rPr>
          <w:i/>
        </w:rPr>
        <w:t xml:space="preserve">Watershed characteristics summary for study sites</w:t>
      </w:r>
    </w:p>
    <w:tbl>
      <w:tblPr>
        <w:tblStyle w:val="Table"/>
        <w:tblW w:type="pct" w:w="5000.0"/>
        <w:tblLook w:firstRow="1"/>
        <w:tblCaption w:val="Table 11: Watershed characteristics summary for study site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Heading5"/>
      </w:pPr>
      <w:bookmarkStart w:id="85" w:name="installations"/>
      <w:r>
        <w:t xml:space="preserve">Installations</w:t>
      </w:r>
      <w:bookmarkEnd w:id="85"/>
    </w:p>
    <w:p>
      <w:pPr>
        <w:pStyle w:val="FirstParagraph"/>
      </w:pPr>
      <w:r>
        <w:t xml:space="preserve">At each of the six monitoring sites, a vertical sampling rack was installed. These racks collect discrete water samples during the rising limb of stormflow, without employing costly pump-samplers. Each vertical rack also included a water level logger that recorded continuous stage (at ten-minute intervals). Vertical sampling racks achieved advanced synoptic sampling within stormflow by providing synchronized spatial sampling resolution that would otherwise be difficult to achieve (i.e., sampling multiple sites across the watershed at approximately the same time).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 Vertical racks collected samples during flows that would otherwise be difficult or unsafe to access, and were supplemented with standard grab samples between storm events and during summer baseflow.</w:t>
      </w:r>
    </w:p>
    <w:p>
      <w:pPr>
        <w:pStyle w:val="BodyText"/>
      </w:pPr>
      <w:r>
        <w:t xml:space="preserve"> </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and on either side of the central stilling well was a slotted offset angle bar onto which hose clamps held sample bottles fit with custom siphon lids. Each rack also included sensors (HOBO TidbiT v2 Temperature Data Logger, Onset, USA) that recorded air and water temperatures (Figure</w:t>
      </w:r>
      <w:r>
        <w:t xml:space="preserve"> </w:t>
      </w:r>
      <w:r>
        <w:t xml:space="preserve">3</w:t>
      </w:r>
      <w:r>
        <w:t xml:space="preserve">). By combining the height at which each siphon bottle filled with observed stage (stilling-well measuring tape) and level-logger data, the date and time for collection of each rising-stage sample was determined.</w:t>
      </w:r>
    </w:p>
    <w:p>
      <w:pPr>
        <w:pStyle w:val="BodyText"/>
      </w:pPr>
      <w:r>
        <w:t xml:space="preserve"> </w:t>
      </w:r>
    </w:p>
    <w:p>
      <w:pPr>
        <w:pStyle w:val="CaptionedFigure"/>
      </w:pPr>
      <w:r>
        <w:drawing>
          <wp:inline>
            <wp:extent cx="2645009" cy="5296155"/>
            <wp:effectExtent b="0" l="0" r="0" t="0"/>
            <wp:docPr descr="Figure 16: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2"/>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4"/>
      </w:pPr>
      <w:bookmarkStart w:id="86" w:name="sample-analysis"/>
      <w:r>
        <w:t xml:space="preserve">Sample analysis</w:t>
      </w:r>
      <w:bookmarkEnd w:id="86"/>
    </w:p>
    <w:p>
      <w:pPr>
        <w:pStyle w:val="FirstParagraph"/>
      </w:pPr>
      <w:r>
        <w:t xml:space="preserve">Water samples were collected in acid-wached 250mL HDPE wide-mouth amber bottles and transported in coolers with ice to the lab for analysis of dissolved organic carbon (DOC) concentrations and spectroscopic absorbance (indicator of NOM character). DOC samples were filtered (0.45-micron PES filters) and acidified (pH &lt; 2), spectroscopy samples were not filtered nor acidified but were ensured to have zero turbidity. Descriptions of sample preparation and quality control are detailed in Chapter 2. DOC was quantified via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and UV-Vis measurements were completed on a spectro::lyser spectrophotometer (S::can, Vienna, Austria)</w:t>
      </w:r>
    </w:p>
    <w:p>
      <w:pPr>
        <w:pStyle w:val="Heading5"/>
      </w:pPr>
      <w:bookmarkStart w:id="87" w:name="X5b4f54c69d669811704ebb110a9d00ebc176df6"/>
      <w:r>
        <w:t xml:space="preserve">Calculated spectral indices for NOM character</w:t>
      </w:r>
      <w:bookmarkEnd w:id="87"/>
    </w:p>
    <w:p>
      <w:pPr>
        <w:pStyle w:val="FirstParagraph"/>
      </w:pPr>
      <w:r>
        <w:t xml:space="preserve">Molecular character of NOM in water samples was assessed through specific ultraviolet absorbance at 254nm (SUVA</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w:t>
      </w:r>
      <w:r>
        <w:t xml:space="preserve">is UV absorption (spectral absorbance coefficient, SAC, m</w:t>
      </w:r>
      <w:r>
        <w:rPr>
          <w:vertAlign w:val="superscript"/>
        </w:rPr>
        <w:t xml:space="preserve">-1</w:t>
      </w:r>
      <w:r>
        <w:t xml:space="preserve">) at 254 nm wavelength, normalized to the samples DOC concentration</w:t>
      </w:r>
      <w:r>
        <w:t xml:space="preserve"> </w:t>
      </w:r>
      <w:r>
        <w:t xml:space="preserve">(Weishaar et al.</w:t>
      </w:r>
      <w:r>
        <w:t xml:space="preserve"> </w:t>
      </w:r>
      <w:hyperlink w:anchor="ref-Weishaar2003">
        <w:r>
          <w:rPr>
            <w:rStyle w:val="Hyperlink"/>
          </w:rPr>
          <w:t xml:space="preserve">2003</w:t>
        </w:r>
      </w:hyperlink>
      <w:r>
        <w:t xml:space="preserve">)</w:t>
      </w:r>
      <w:r>
        <w:t xml:space="preserve">, it correlates with DOM aromaticity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is the ratio of absorbance at wavelengths 250 nm and 365 nm, and is inversely related to aquatic humic solute aromaticity and molecular size</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Heading3"/>
      </w:pPr>
      <w:bookmarkStart w:id="88" w:name="results"/>
      <w:r>
        <w:t xml:space="preserve">Results</w:t>
      </w:r>
      <w:bookmarkEnd w:id="88"/>
    </w:p>
    <w:p>
      <w:pPr>
        <w:pStyle w:val="Heading4"/>
      </w:pPr>
      <w:bookmarkStart w:id="89" w:name="rain-events"/>
      <w:r>
        <w:t xml:space="preserve">Rain events</w:t>
      </w:r>
      <w:bookmarkEnd w:id="89"/>
    </w:p>
    <w:p>
      <w:pPr>
        <w:pStyle w:val="FirstParagraph"/>
      </w:pPr>
      <w:r>
        <w:t xml:space="preserve">LWSA mean FWx precipitation data were used to define rain events using the USGS</w:t>
      </w:r>
      <w:r>
        <w:t xml:space="preserve"> </w:t>
      </w:r>
      <w:r>
        <w:rPr>
          <w:i/>
        </w:rPr>
        <w:t xml:space="preserve">Rainmaker</w:t>
      </w:r>
      <w:r>
        <w:t xml:space="preserve"> </w:t>
      </w:r>
      <w:r>
        <w:t xml:space="preserve">package in R (</w:t>
      </w:r>
      <w:r>
        <w:t xml:space="preserve">‘</w:t>
      </w:r>
      <w:r>
        <w:t xml:space="preserve">RMevents</w:t>
      </w:r>
      <w:r>
        <w:t xml:space="preserve">’</w:t>
      </w:r>
      <w:r>
        <w:t xml:space="preserve"> </w:t>
      </w:r>
      <w:r>
        <w:t xml:space="preserve">function). During the study period there were 151 rain events, and 18 that were classified as major events. Major rain events were defined by precipitation accumulating to 50mm or more, where the events were separated from each other by a period of 14 hours or longer. Table</w:t>
      </w:r>
      <w:r>
        <w:t xml:space="preserve"> </w:t>
      </w:r>
      <w:r>
        <w:t xml:space="preserve">12</w:t>
      </w:r>
      <w:r>
        <w:t xml:space="preserve"> </w:t>
      </w:r>
      <w:r>
        <w:t xml:space="preserve">summarizes the eighteen major rain events that occurred during the study period (2018-10-23 to 2020-02-20).</w:t>
      </w:r>
    </w:p>
    <w:p>
      <w:pPr>
        <w:pStyle w:val="BodyText"/>
      </w:pPr>
      <w:r>
        <w:t xml:space="preserve"> </w:t>
      </w:r>
    </w:p>
    <w:p>
      <w:pPr>
        <w:pStyle w:val="TableCaption"/>
      </w:pPr>
      <w:r>
        <w:t xml:space="preserve">Table 12:</w:t>
      </w:r>
      <w:r>
        <w:t xml:space="preserve"> </w:t>
      </w:r>
      <w:r>
        <w:rPr>
          <w:i/>
        </w:rPr>
        <w:t xml:space="preserve">Rain events defined by a threshold of 50mm with 14-hour inter-event period</w:t>
      </w:r>
    </w:p>
    <w:tbl>
      <w:tblPr>
        <w:tblStyle w:val="Table"/>
        <w:tblW w:type="pct" w:w="5000.0"/>
        <w:tblLook w:firstRow="1"/>
        <w:tblCaption w:val="Table 12: Rain events defined by a threshold of 50mm with 14-hour inter-event period"/>
      </w:tblPr>
      <w:tblGrid>
        <w:gridCol w:w="1170"/>
        <w:gridCol w:w="1440"/>
        <w:gridCol w:w="990"/>
        <w:gridCol w:w="1440"/>
        <w:gridCol w:w="1260"/>
        <w:gridCol w:w="1620"/>
      </w:tblGrid>
      <w:tr>
        <w:trPr>
          <w:cnfStyle w:firstRow="1"/>
        </w:trPr>
        <w:tc>
          <w:tcPr>
            <w:tcBorders>
              <w:bottom w:val="single"/>
            </w:tcBorders>
            <w:vAlign w:val="bottom"/>
          </w:tcPr>
          <w:p>
            <w:pPr>
              <w:pStyle w:val="Compact"/>
              <w:jc w:val="right"/>
            </w:pPr>
            <w:r>
              <w:t xml:space="preserve">Storm number</w:t>
            </w:r>
          </w:p>
        </w:tc>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(mm/hr)</w:t>
            </w:r>
          </w:p>
        </w:tc>
      </w:tr>
      <w:tr>
        <w:tc>
          <w:p>
            <w:pPr>
              <w:pStyle w:val="Compact"/>
              <w:jc w:val="right"/>
            </w:pPr>
            <w:r>
              <w:t xml:space="preserve">2</w:t>
            </w:r>
          </w:p>
        </w:tc>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0.8</w:t>
            </w:r>
          </w:p>
        </w:tc>
      </w:tr>
      <w:tr>
        <w:tc>
          <w:p>
            <w:pPr>
              <w:pStyle w:val="Compact"/>
              <w:jc w:val="right"/>
            </w:pPr>
            <w:r>
              <w:t xml:space="preserve">3</w:t>
            </w:r>
          </w:p>
        </w:tc>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2.5</w:t>
            </w:r>
          </w:p>
        </w:tc>
      </w:tr>
      <w:tr>
        <w:tc>
          <w:p>
            <w:pPr>
              <w:pStyle w:val="Compact"/>
              <w:jc w:val="right"/>
            </w:pPr>
            <w:r>
              <w:t xml:space="preserve">15</w:t>
            </w:r>
          </w:p>
        </w:tc>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1.8</w:t>
            </w:r>
          </w:p>
        </w:tc>
      </w:tr>
      <w:tr>
        <w:tc>
          <w:p>
            <w:pPr>
              <w:pStyle w:val="Compact"/>
              <w:jc w:val="right"/>
            </w:pPr>
            <w:r>
              <w:t xml:space="preserve">20</w:t>
            </w:r>
          </w:p>
        </w:tc>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1.7</w:t>
            </w:r>
          </w:p>
        </w:tc>
      </w:tr>
      <w:tr>
        <w:tc>
          <w:p>
            <w:pPr>
              <w:pStyle w:val="Compact"/>
              <w:jc w:val="right"/>
            </w:pPr>
            <w:r>
              <w:t xml:space="preserve">21</w:t>
            </w:r>
          </w:p>
        </w:tc>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1.2</w:t>
            </w:r>
          </w:p>
        </w:tc>
      </w:tr>
      <w:tr>
        <w:tc>
          <w:p>
            <w:pPr>
              <w:pStyle w:val="Compact"/>
              <w:jc w:val="right"/>
            </w:pPr>
            <w:r>
              <w:t xml:space="preserve">22</w:t>
            </w:r>
          </w:p>
        </w:tc>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0.9</w:t>
            </w:r>
          </w:p>
        </w:tc>
      </w:tr>
      <w:tr>
        <w:tc>
          <w:p>
            <w:pPr>
              <w:pStyle w:val="Compact"/>
              <w:jc w:val="right"/>
            </w:pPr>
            <w:r>
              <w:t xml:space="preserve">26</w:t>
            </w:r>
          </w:p>
        </w:tc>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2.3</w:t>
            </w:r>
          </w:p>
        </w:tc>
      </w:tr>
      <w:tr>
        <w:tc>
          <w:p>
            <w:pPr>
              <w:pStyle w:val="Compact"/>
              <w:jc w:val="right"/>
            </w:pPr>
            <w:r>
              <w:t xml:space="preserve">31</w:t>
            </w:r>
          </w:p>
        </w:tc>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1.0</w:t>
            </w:r>
          </w:p>
        </w:tc>
      </w:tr>
      <w:tr>
        <w:tc>
          <w:p>
            <w:pPr>
              <w:pStyle w:val="Compact"/>
              <w:jc w:val="right"/>
            </w:pPr>
            <w:r>
              <w:t xml:space="preserve">101</w:t>
            </w:r>
          </w:p>
        </w:tc>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0.8</w:t>
            </w:r>
          </w:p>
        </w:tc>
      </w:tr>
      <w:tr>
        <w:tc>
          <w:p>
            <w:pPr>
              <w:pStyle w:val="Compact"/>
              <w:jc w:val="right"/>
            </w:pPr>
            <w:r>
              <w:t xml:space="preserve">115</w:t>
            </w:r>
          </w:p>
        </w:tc>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0.9</w:t>
            </w:r>
          </w:p>
        </w:tc>
      </w:tr>
      <w:tr>
        <w:tc>
          <w:p>
            <w:pPr>
              <w:pStyle w:val="Compact"/>
              <w:jc w:val="right"/>
            </w:pPr>
            <w:r>
              <w:t xml:space="preserve">123</w:t>
            </w:r>
          </w:p>
        </w:tc>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1.2</w:t>
            </w:r>
          </w:p>
        </w:tc>
      </w:tr>
      <w:tr>
        <w:tc>
          <w:p>
            <w:pPr>
              <w:pStyle w:val="Compact"/>
              <w:jc w:val="right"/>
            </w:pPr>
            <w:r>
              <w:t xml:space="preserve">132</w:t>
            </w:r>
          </w:p>
        </w:tc>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1.0</w:t>
            </w:r>
          </w:p>
        </w:tc>
      </w:tr>
      <w:tr>
        <w:tc>
          <w:p>
            <w:pPr>
              <w:pStyle w:val="Compact"/>
              <w:jc w:val="right"/>
            </w:pPr>
            <w:r>
              <w:t xml:space="preserve">136</w:t>
            </w:r>
          </w:p>
        </w:tc>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1.2</w:t>
            </w:r>
          </w:p>
        </w:tc>
      </w:tr>
      <w:tr>
        <w:tc>
          <w:p>
            <w:pPr>
              <w:pStyle w:val="Compact"/>
              <w:jc w:val="right"/>
            </w:pPr>
            <w:r>
              <w:t xml:space="preserve">140</w:t>
            </w:r>
          </w:p>
        </w:tc>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1.2</w:t>
            </w:r>
          </w:p>
        </w:tc>
      </w:tr>
      <w:tr>
        <w:tc>
          <w:p>
            <w:pPr>
              <w:pStyle w:val="Compact"/>
              <w:jc w:val="right"/>
            </w:pPr>
            <w:r>
              <w:t xml:space="preserve">141</w:t>
            </w:r>
          </w:p>
        </w:tc>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1.3</w:t>
            </w:r>
          </w:p>
        </w:tc>
      </w:tr>
      <w:tr>
        <w:tc>
          <w:p>
            <w:pPr>
              <w:pStyle w:val="Compact"/>
              <w:jc w:val="right"/>
            </w:pPr>
            <w:r>
              <w:t xml:space="preserve">147</w:t>
            </w:r>
          </w:p>
        </w:tc>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1.0</w:t>
            </w:r>
          </w:p>
        </w:tc>
      </w:tr>
      <w:tr>
        <w:tc>
          <w:p>
            <w:pPr>
              <w:pStyle w:val="Compact"/>
              <w:jc w:val="right"/>
            </w:pPr>
            <w:r>
              <w:t xml:space="preserve">149</w:t>
            </w:r>
          </w:p>
        </w:tc>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4.6</w:t>
            </w:r>
          </w:p>
        </w:tc>
      </w:tr>
      <w:tr>
        <w:tc>
          <w:p>
            <w:pPr>
              <w:pStyle w:val="Compact"/>
              <w:jc w:val="right"/>
            </w:pPr>
            <w:r>
              <w:t xml:space="preserve">151</w:t>
            </w:r>
          </w:p>
        </w:tc>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0.9</w:t>
            </w:r>
          </w:p>
        </w:tc>
      </w:tr>
    </w:tbl>
    <w:p>
      <w:pPr>
        <w:pStyle w:val="BodyText"/>
      </w:pPr>
      <w:r>
        <w:t xml:space="preserve"> </w:t>
      </w:r>
    </w:p>
    <w:p>
      <w:pPr>
        <w:pStyle w:val="BodyText"/>
      </w:pPr>
      <w:r>
        <w:t xml:space="preserve">An intense (category 3-4) atmospheric river event hit the LWSA January 29-31 (Event 17) and generated incredible flows across the Leech watershed (and across Vancouver Island and most of the south coast of BC). Streamflow at CraggCrk (site 4) and the Tunnel (site 6) over-topped the vertical racks (greater than 2m tall) and ripped the level-loggers out of their stilling wells.</w:t>
      </w:r>
      <w:r>
        <w:rPr>
          <w:rStyle w:val="FootnoteReference"/>
        </w:rPr>
        <w:footnoteReference w:id="90"/>
      </w:r>
      <w:r>
        <w:t xml:space="preserve"> </w:t>
      </w:r>
      <w:r>
        <w:t xml:space="preserve">Luckily, the level-loggers were found downstream in February and (after drying the circuit boards) the data were successfully retrieved from both Odyssey loggers. Figure</w:t>
      </w:r>
      <w:r>
        <w:t xml:space="preserve"> </w:t>
      </w:r>
      <w:r>
        <w:t xml:space="preserve">17</w:t>
      </w:r>
      <w:r>
        <w:t xml:space="preserve"> </w:t>
      </w:r>
      <w:r>
        <w:t xml:space="preserve">shows stream level at each monitored sub-basin along with events and samples collected. Eight of these events were captured in the 2019 water year (2018-2019 wet season), the other ten in the 2020 water year. For each calender year in the study period, major rain events’ minimum and maximum values of depth, duration and intensity were identified and are summarized in Table</w:t>
      </w:r>
      <w:r>
        <w:t xml:space="preserve"> </w:t>
      </w:r>
      <w:r>
        <w:t xml:space="preserve">13</w:t>
      </w:r>
      <w:r>
        <w:t xml:space="preserve">.</w:t>
      </w:r>
    </w:p>
    <w:p>
      <w:pPr>
        <w:pStyle w:val="BodyText"/>
      </w:pPr>
      <w:r>
        <w:t xml:space="preserve"> </w:t>
      </w:r>
    </w:p>
    <w:p>
      <w:pPr>
        <w:pStyle w:val="CaptionedFigure"/>
      </w:pPr>
      <w:r>
        <w:drawing>
          <wp:inline>
            <wp:extent cx="5943600" cy="7924799"/>
            <wp:effectExtent b="0" l="0" r="0" t="0"/>
            <wp:docPr descr="Figure 17: Plot of Precipitation, rain events (as vertical lines), stream rise and sample collection at six sites across the LWSA." title="" id="1" name="Picture"/>
            <a:graphic>
              <a:graphicData uri="http://schemas.openxmlformats.org/drawingml/2006/picture">
                <pic:pic>
                  <pic:nvPicPr>
                    <pic:cNvPr descr="R-outputs_UBC-forWater-MSc_HMc/figures/Wx-stage-subbasins_megaplot-noTemp.png" id="0" name="Picture"/>
                    <pic:cNvPicPr>
                      <a:picLocks noChangeArrowheads="1" noChangeAspect="1"/>
                    </pic:cNvPicPr>
                  </pic:nvPicPr>
                  <pic:blipFill>
                    <a:blip r:embed="rId91"/>
                    <a:stretch>
                      <a:fillRect/>
                    </a:stretch>
                  </pic:blipFill>
                  <pic:spPr bwMode="auto">
                    <a:xfrm>
                      <a:off x="0" y="0"/>
                      <a:ext cx="5943600" cy="7924799"/>
                    </a:xfrm>
                    <a:prstGeom prst="rect">
                      <a:avLst/>
                    </a:prstGeom>
                    <a:noFill/>
                    <a:ln w="9525">
                      <a:noFill/>
                      <a:headEnd/>
                      <a:tailEnd/>
                    </a:ln>
                  </pic:spPr>
                </pic:pic>
              </a:graphicData>
            </a:graphic>
          </wp:inline>
        </w:drawing>
      </w:r>
    </w:p>
    <w:p>
      <w:pPr>
        <w:pStyle w:val="ImageCaption"/>
      </w:pPr>
      <w:r>
        <w:t xml:space="preserve">Figure 17:</w:t>
      </w:r>
      <w:r>
        <w:t xml:space="preserve"> </w:t>
      </w:r>
      <w:r>
        <w:rPr>
          <w:i/>
        </w:rPr>
        <w:t xml:space="preserve">Plot of Precipitation, rain events (as vertical lines), stream rise and sample collection at six sites across the LWSA.</w:t>
      </w:r>
    </w:p>
    <w:p>
      <w:pPr>
        <w:pStyle w:val="BodyText"/>
      </w:pPr>
      <w:r>
        <w:t xml:space="preserve"> </w:t>
      </w:r>
    </w:p>
    <w:p>
      <w:pPr>
        <w:pStyle w:val="CaptionedFigure"/>
      </w:pPr>
      <w:r>
        <w:drawing>
          <wp:inline>
            <wp:extent cx="5504749" cy="7339665"/>
            <wp:effectExtent b="0" l="0" r="0" t="0"/>
            <wp:docPr descr="Figure 18:  Rain events, stream response and sample collection across the Leech Water Supply Area. Dashed vertical lines indicate the start of rain events and points indicate the timing and stage of river samples collected." title="" id="1" name="Picture"/>
            <a:graphic>
              <a:graphicData uri="http://schemas.openxmlformats.org/drawingml/2006/picture">
                <pic:pic>
                  <pic:nvPicPr>
                    <pic:cNvPr descr="R-outputs_UBC-forWater-MSc_HMc/figures/Wx-stage-subbasins_megaplot_sampletype.png" id="0" name="Picture"/>
                    <pic:cNvPicPr>
                      <a:picLocks noChangeArrowheads="1" noChangeAspect="1"/>
                    </pic:cNvPicPr>
                  </pic:nvPicPr>
                  <pic:blipFill>
                    <a:blip r:embed="rId92"/>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rPr>
          <w:i/>
        </w:rPr>
        <w:t xml:space="preserve">Rain events, stream response and sample collection across the Leech Water Supply Area. Dashed vertical lines indicate the start of rain events and points indicate the timing and stage of river samples collected.</w:t>
      </w:r>
    </w:p>
    <w:p>
      <w:pPr>
        <w:pStyle w:val="BodyText"/>
      </w:pPr>
      <w:r>
        <w:t xml:space="preserve"> </w:t>
      </w:r>
    </w:p>
    <w:p>
      <w:pPr>
        <w:pStyle w:val="TableCaption"/>
      </w:pPr>
      <w:r>
        <w:t xml:space="preserve">Table 13:</w:t>
      </w:r>
      <w:r>
        <w:t xml:space="preserve"> </w:t>
      </w:r>
      <w:r>
        <w:rPr>
          <w:i/>
        </w:rPr>
        <w:t xml:space="preserve">Minimum and maximum rain event values</w:t>
      </w:r>
      <w:r>
        <w:rPr>
          <w:i/>
        </w:rPr>
        <w:t xml:space="preserve"> </w:t>
      </w:r>
    </w:p>
    <w:tbl>
      <w:tblPr>
        <w:tblStyle w:val="Table"/>
        <w:tblW w:type="pct" w:w="5000.0"/>
        <w:tblLook w:firstRow="1"/>
        <w:tblCaption w:val="Table 13: Minimum and maximum rain event values "/>
      </w:tblPr>
      <w:tblGrid>
        <w:gridCol w:w="332"/>
        <w:gridCol w:w="1397"/>
        <w:gridCol w:w="1397"/>
        <w:gridCol w:w="931"/>
        <w:gridCol w:w="931"/>
        <w:gridCol w:w="1464"/>
        <w:gridCol w:w="1464"/>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min. duration (days)</w:t>
            </w:r>
          </w:p>
        </w:tc>
        <w:tc>
          <w:tcPr>
            <w:tcBorders>
              <w:bottom w:val="single"/>
            </w:tcBorders>
            <w:vAlign w:val="bottom"/>
          </w:tcPr>
          <w:p>
            <w:pPr>
              <w:pStyle w:val="Compact"/>
              <w:jc w:val="right"/>
            </w:pPr>
            <w:r>
              <w:t xml:space="preserve">max. duration (days)</w:t>
            </w:r>
          </w:p>
        </w:tc>
        <w:tc>
          <w:tcPr>
            <w:tcBorders>
              <w:bottom w:val="single"/>
            </w:tcBorders>
            <w:vAlign w:val="bottom"/>
          </w:tcPr>
          <w:p>
            <w:pPr>
              <w:pStyle w:val="Compact"/>
              <w:jc w:val="right"/>
            </w:pPr>
            <w:r>
              <w:t xml:space="preserve">min rain (mm)</w:t>
            </w:r>
          </w:p>
        </w:tc>
        <w:tc>
          <w:tcPr>
            <w:tcBorders>
              <w:bottom w:val="single"/>
            </w:tcBorders>
            <w:vAlign w:val="bottom"/>
          </w:tcPr>
          <w:p>
            <w:pPr>
              <w:pStyle w:val="Compact"/>
              <w:jc w:val="right"/>
            </w:pPr>
            <w:r>
              <w:t xml:space="preserve">max rain (mm)</w:t>
            </w:r>
          </w:p>
        </w:tc>
        <w:tc>
          <w:tcPr>
            <w:tcBorders>
              <w:bottom w:val="single"/>
            </w:tcBorders>
            <w:vAlign w:val="bottom"/>
          </w:tcPr>
          <w:p>
            <w:pPr>
              <w:pStyle w:val="Compact"/>
              <w:jc w:val="right"/>
            </w:pPr>
            <w:r>
              <w:t xml:space="preserve">min intensity (mm/hr)</w:t>
            </w:r>
          </w:p>
        </w:tc>
        <w:tc>
          <w:tcPr>
            <w:tcBorders>
              <w:bottom w:val="single"/>
            </w:tcBorders>
            <w:vAlign w:val="bottom"/>
          </w:tcPr>
          <w:p>
            <w:pPr>
              <w:pStyle w:val="Compact"/>
              <w:jc w:val="right"/>
            </w:pPr>
            <w:r>
              <w:t xml:space="preserve">max intensity (mm/hr)</w:t>
            </w:r>
          </w:p>
        </w:tc>
      </w:tr>
      <w:tr>
        <w:tc>
          <w:p>
            <w:pPr>
              <w:pStyle w:val="Compact"/>
              <w:jc w:val="right"/>
            </w:pPr>
            <w:r>
              <w:t xml:space="preserve">2018</w:t>
            </w:r>
          </w:p>
        </w:tc>
        <w:tc>
          <w:p>
            <w:pPr>
              <w:pStyle w:val="Compact"/>
              <w:jc w:val="right"/>
            </w:pPr>
            <w:r>
              <w:t xml:space="preserve">0.9</w:t>
            </w:r>
          </w:p>
        </w:tc>
        <w:tc>
          <w:p>
            <w:pPr>
              <w:pStyle w:val="Compact"/>
              <w:jc w:val="right"/>
            </w:pPr>
            <w:r>
              <w:t xml:space="preserve">6.2</w:t>
            </w:r>
          </w:p>
        </w:tc>
        <w:tc>
          <w:p>
            <w:pPr>
              <w:pStyle w:val="Compact"/>
              <w:jc w:val="right"/>
            </w:pPr>
            <w:r>
              <w:t xml:space="preserve">54.5</w:t>
            </w:r>
          </w:p>
        </w:tc>
        <w:tc>
          <w:p>
            <w:pPr>
              <w:pStyle w:val="Compact"/>
              <w:jc w:val="right"/>
            </w:pPr>
            <w:r>
              <w:t xml:space="preserve">205.1</w:t>
            </w:r>
          </w:p>
        </w:tc>
        <w:tc>
          <w:p>
            <w:pPr>
              <w:pStyle w:val="Compact"/>
              <w:jc w:val="right"/>
            </w:pPr>
            <w:r>
              <w:t xml:space="preserve">0.84</w:t>
            </w:r>
          </w:p>
        </w:tc>
        <w:tc>
          <w:p>
            <w:pPr>
              <w:pStyle w:val="Compact"/>
              <w:jc w:val="right"/>
            </w:pPr>
            <w:r>
              <w:t xml:space="preserve">2.5</w:t>
            </w:r>
          </w:p>
        </w:tc>
      </w:tr>
      <w:tr>
        <w:tc>
          <w:p>
            <w:pPr>
              <w:pStyle w:val="Compact"/>
              <w:jc w:val="right"/>
            </w:pPr>
            <w:r>
              <w:t xml:space="preserve">2019</w:t>
            </w:r>
          </w:p>
        </w:tc>
        <w:tc>
          <w:p>
            <w:pPr>
              <w:pStyle w:val="Compact"/>
              <w:jc w:val="right"/>
            </w:pPr>
            <w:r>
              <w:t xml:space="preserve">2.0</w:t>
            </w:r>
          </w:p>
        </w:tc>
        <w:tc>
          <w:p>
            <w:pPr>
              <w:pStyle w:val="Compact"/>
              <w:jc w:val="right"/>
            </w:pPr>
            <w:r>
              <w:t xml:space="preserve">6.4</w:t>
            </w:r>
          </w:p>
        </w:tc>
        <w:tc>
          <w:p>
            <w:pPr>
              <w:pStyle w:val="Compact"/>
              <w:jc w:val="right"/>
            </w:pPr>
            <w:r>
              <w:t xml:space="preserve">57.1</w:t>
            </w:r>
          </w:p>
        </w:tc>
        <w:tc>
          <w:p>
            <w:pPr>
              <w:pStyle w:val="Compact"/>
              <w:jc w:val="right"/>
            </w:pPr>
            <w:r>
              <w:t xml:space="preserve">227.6</w:t>
            </w:r>
          </w:p>
        </w:tc>
        <w:tc>
          <w:p>
            <w:pPr>
              <w:pStyle w:val="Compact"/>
              <w:jc w:val="right"/>
            </w:pPr>
            <w:r>
              <w:t xml:space="preserve">0.78</w:t>
            </w:r>
          </w:p>
        </w:tc>
        <w:tc>
          <w:p>
            <w:pPr>
              <w:pStyle w:val="Compact"/>
              <w:jc w:val="right"/>
            </w:pPr>
            <w:r>
              <w:t xml:space="preserve">2.3</w:t>
            </w:r>
          </w:p>
        </w:tc>
      </w:tr>
      <w:tr>
        <w:tc>
          <w:p>
            <w:pPr>
              <w:pStyle w:val="Compact"/>
              <w:jc w:val="right"/>
            </w:pPr>
            <w:r>
              <w:t xml:space="preserve">2020</w:t>
            </w:r>
          </w:p>
        </w:tc>
        <w:tc>
          <w:p>
            <w:pPr>
              <w:pStyle w:val="Compact"/>
              <w:jc w:val="right"/>
            </w:pPr>
            <w:r>
              <w:t xml:space="preserve">1.9</w:t>
            </w:r>
          </w:p>
        </w:tc>
        <w:tc>
          <w:p>
            <w:pPr>
              <w:pStyle w:val="Compact"/>
              <w:jc w:val="right"/>
            </w:pPr>
            <w:r>
              <w:t xml:space="preserve">9.9</w:t>
            </w:r>
          </w:p>
        </w:tc>
        <w:tc>
          <w:p>
            <w:pPr>
              <w:pStyle w:val="Compact"/>
              <w:jc w:val="right"/>
            </w:pPr>
            <w:r>
              <w:t xml:space="preserve">75.9</w:t>
            </w:r>
          </w:p>
        </w:tc>
        <w:tc>
          <w:p>
            <w:pPr>
              <w:pStyle w:val="Compact"/>
              <w:jc w:val="right"/>
            </w:pPr>
            <w:r>
              <w:t xml:space="preserve">238.3</w:t>
            </w:r>
          </w:p>
        </w:tc>
        <w:tc>
          <w:p>
            <w:pPr>
              <w:pStyle w:val="Compact"/>
              <w:jc w:val="right"/>
            </w:pPr>
            <w:r>
              <w:t xml:space="preserve">0.93</w:t>
            </w:r>
          </w:p>
        </w:tc>
        <w:tc>
          <w:p>
            <w:pPr>
              <w:pStyle w:val="Compact"/>
              <w:jc w:val="right"/>
            </w:pPr>
            <w:r>
              <w:t xml:space="preserve">4.6</w:t>
            </w:r>
          </w:p>
        </w:tc>
      </w:tr>
    </w:tbl>
    <w:p>
      <w:pPr>
        <w:pStyle w:val="BodyText"/>
      </w:pPr>
      <w:r>
        <w:t xml:space="preserve"> </w:t>
      </w:r>
    </w:p>
    <w:p>
      <w:pPr>
        <w:pStyle w:val="Heading4"/>
      </w:pPr>
      <w:bookmarkStart w:id="93" w:name="Xd1828956a153ce2667823a6c003a1eb0928034a"/>
      <w:r>
        <w:t xml:space="preserve">River response: spatial and temporal variance and synchrony in stage</w:t>
      </w:r>
      <w:bookmarkEnd w:id="93"/>
    </w:p>
    <w:p>
      <w:pPr>
        <w:pStyle w:val="FirstParagraph"/>
      </w:pPr>
      <w:r>
        <w:t xml:space="preserve">Across the LWSA, fluctuations in river stage were temporally synchronized.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Compact"/>
        <w:numPr>
          <w:numId w:val="1003"/>
          <w:ilvl w:val="0"/>
        </w:numPr>
      </w:pPr>
      <w:r>
        <w:rPr>
          <w:i/>
        </w:rPr>
        <w:t xml:space="preserve">needs work:</w:t>
      </w:r>
    </w:p>
    <w:p>
      <w:pPr>
        <w:pStyle w:val="Compact"/>
        <w:numPr>
          <w:numId w:val="1003"/>
          <w:ilvl w:val="0"/>
        </w:numPr>
      </w:pPr>
      <w:r>
        <w:t xml:space="preserve">Rates of stream response (times to peak):</w:t>
      </w:r>
      <w:r>
        <w:t xml:space="preserve"> </w:t>
      </w:r>
      <w:r>
        <w:t xml:space="preserve">14</w:t>
      </w:r>
    </w:p>
    <w:p>
      <w:pPr>
        <w:pStyle w:val="FirstParagraph"/>
      </w:pPr>
      <w:r>
        <w:t xml:space="preserve"> </w:t>
      </w:r>
    </w:p>
    <w:p>
      <w:pPr>
        <w:pStyle w:val="TableCaption"/>
      </w:pPr>
      <w:r>
        <w:t xml:space="preserve">Table 14:</w:t>
      </w:r>
      <w:r>
        <w:t xml:space="preserve"> </w:t>
      </w:r>
      <w:r>
        <w:rPr>
          <w:i/>
        </w:rPr>
        <w:t xml:space="preserve">Summary of stream response to precipitation events across the LWSA.</w:t>
      </w:r>
    </w:p>
    <w:tbl>
      <w:tblPr>
        <w:tblStyle w:val="Table"/>
        <w:tblW w:type="pct" w:w="4999.999999999999"/>
        <w:tblLook w:firstRow="1"/>
        <w:tblCaption w:val="Table 14: Summary of stream response to precipitation events across the LWSA."/>
      </w:tblPr>
      <w:tblGrid>
        <w:gridCol w:w="412"/>
        <w:gridCol w:w="1361"/>
        <w:gridCol w:w="1320"/>
        <w:gridCol w:w="1237"/>
        <w:gridCol w:w="1196"/>
        <w:gridCol w:w="1196"/>
        <w:gridCol w:w="119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0.2</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0.3</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0.3</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w:t>
            </w:r>
          </w:p>
        </w:tc>
        <w:tc>
          <w:p>
            <w:pPr>
              <w:pStyle w:val="Compact"/>
              <w:jc w:val="right"/>
            </w:pPr>
            <w:r>
              <w:t xml:space="preserve">7.4</w:t>
            </w:r>
          </w:p>
        </w:tc>
      </w:tr>
    </w:tbl>
    <w:p>
      <w:pPr>
        <w:pStyle w:val="Heading4"/>
      </w:pPr>
      <w:bookmarkStart w:id="94" w:name="rising-stage-dom-dynamics"/>
      <w:r>
        <w:t xml:space="preserve">Rising stage &amp; DOM dynamics</w:t>
      </w:r>
      <w:bookmarkEnd w:id="94"/>
    </w:p>
    <w:p>
      <w:pPr>
        <w:pStyle w:val="FirstParagraph"/>
      </w:pPr>
      <w:r>
        <w:t xml:space="preserve">The wet season was better represented than the dry by sample number and was therefore more interesting in terms of DOC concentration patterns. Additionally, the wet season is more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19</w:t>
      </w:r>
      <w:r>
        <w:t xml:space="preserve">.</w:t>
      </w:r>
    </w:p>
    <w:p>
      <w:pPr>
        <w:pStyle w:val="BodyText"/>
      </w:pPr>
      <w:r>
        <w:t xml:space="preserve"> </w:t>
      </w:r>
    </w:p>
    <w:p>
      <w:pPr>
        <w:pStyle w:val="CaptionedFigure"/>
      </w:pPr>
      <w:r>
        <w:drawing>
          <wp:inline>
            <wp:extent cx="4587290" cy="3211103"/>
            <wp:effectExtent b="0" l="0" r="0" t="0"/>
            <wp:docPr descr="Figure 19: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DOC_subbasin_GvsR_boxplot.png" id="0" name="Picture"/>
                    <pic:cNvPicPr>
                      <a:picLocks noChangeArrowheads="1" noChangeAspect="1"/>
                    </pic:cNvPicPr>
                  </pic:nvPicPr>
                  <pic:blipFill>
                    <a:blip r:embed="rId95"/>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BodyText"/>
      </w:pPr>
      <w:r>
        <w:t xml:space="preserve">A trend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 While not every river response pulse was full sampled across, the vertical racks collected samples at progressively higher stage in each site. Figure</w:t>
      </w:r>
      <w:r>
        <w:t xml:space="preserve"> </w:t>
      </w:r>
      <w:r>
        <w:t xml:space="preserve">20</w:t>
      </w:r>
      <w:r>
        <w:t xml:space="preserve"> </w:t>
      </w:r>
      <w:r>
        <w:t xml:space="preserve">shows DOC concentrations in rising limb sample across rain events. Generally, DOC increased with increasing river stage; however, the trend was not linear in each event response.</w:t>
      </w:r>
    </w:p>
    <w:p>
      <w:r>
        <w:pict>
          <v:rect style="width:0;height:1.5pt" o:hralign="center" o:hrstd="t" o:hr="t"/>
        </w:pict>
      </w:r>
    </w:p>
    <w:p>
      <w:pPr>
        <w:pStyle w:val="FirstParagraph"/>
      </w:pPr>
      <w:r>
        <w:t xml:space="preserve">To get a better idea of stream surge DOM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4"/>
          <w:ilvl w:val="0"/>
        </w:numPr>
      </w:pPr>
      <w:r>
        <w:t xml:space="preserve">earlier 2019</w:t>
      </w:r>
      <w:r>
        <w:t xml:space="preserve"> </w:t>
      </w:r>
      <w:r>
        <w:t xml:space="preserve">rain events 10 &amp; 11 (maybe)</w:t>
      </w:r>
      <w:r>
        <w:t xml:space="preserve"> </w:t>
      </w:r>
      <w:r>
        <w:t xml:space="preserve">****************</w:t>
      </w:r>
      <w:r>
        <w:t xml:space="preserve"> </w:t>
      </w:r>
      <w:r>
        <w:t xml:space="preserve"> </w:t>
      </w:r>
    </w:p>
    <w:p>
      <w:pPr>
        <w:pStyle w:val="CaptionedFigure"/>
      </w:pPr>
      <w:r>
        <w:drawing>
          <wp:inline>
            <wp:extent cx="4587290" cy="6422207"/>
            <wp:effectExtent b="0" l="0" r="0" t="0"/>
            <wp:docPr descr="Figure 20:  DOC concentration trends in rising limb samples categorized by rain events" title="" id="1" name="Picture"/>
            <a:graphic>
              <a:graphicData uri="http://schemas.openxmlformats.org/drawingml/2006/picture">
                <pic:pic>
                  <pic:nvPicPr>
                    <pic:cNvPr descr="R-outputs_UBC-forWater-MSc_HMc/figures/DOC_rack-trends.png" id="0" name="Picture"/>
                    <pic:cNvPicPr>
                      <a:picLocks noChangeArrowheads="1" noChangeAspect="1"/>
                    </pic:cNvPicPr>
                  </pic:nvPicPr>
                  <pic:blipFill>
                    <a:blip r:embed="rId96"/>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rPr>
          <w:i/>
        </w:rPr>
        <w:t xml:space="preserve">DOC concentration trends in rising limb samples categorized by rain events</w:t>
      </w:r>
    </w:p>
    <w:p>
      <w:pPr>
        <w:pStyle w:val="BodyText"/>
      </w:pPr>
      <w:r>
        <w:t xml:space="preserve"> </w:t>
      </w:r>
    </w:p>
    <w:p>
      <w:pPr>
        <w:pStyle w:val="Heading4"/>
      </w:pPr>
      <w:bookmarkStart w:id="97" w:name="Xc2630683f9dc53106c8f6f2575ed377c9a57537"/>
      <w:r>
        <w:t xml:space="preserve">Spatiotemporal synchrony in local extrema: river stage and DOC</w:t>
      </w:r>
      <w:bookmarkEnd w:id="97"/>
    </w:p>
    <w:p>
      <w:pPr>
        <w:pStyle w:val="FirstParagraph"/>
      </w:pPr>
      <w:r>
        <w:t xml:space="preserve">Streams responded harmoniously to precipitation across the LWSA, with synchronous changes in stage, but was a similar harmony present for fluctuations in DOC or spectral properties? Aqueous DOC was quantified from discrete river samples, and therefore the temporal synchrony of peaks could not be evaluated in the same manner as stage, which was continuously recorded. However, each river sample was matched to stage and had a corresponding time-stamp, therefore temporal synchrony in DOC could be inferred based on relationships between peak DOC and stage. To determine if local DOC extrema (maxima and minima concentrations) were captured in conjunction with the local extrema of sampled flows (minima and maxima of sampled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 Table</w:t>
      </w:r>
      <w:r>
        <w:t xml:space="preserve"> </w:t>
      </w:r>
      <w:r>
        <w:t xml:space="preserve">15</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15:</w:t>
      </w:r>
      <w:r>
        <w:t xml:space="preserve"> </w:t>
      </w:r>
      <w:r>
        <w:rPr>
          <w:i/>
        </w:rPr>
        <w:t xml:space="preserve">Proportion of samples for which peak DOC was found in the highest sample stage.</w:t>
      </w:r>
    </w:p>
    <w:tbl>
      <w:tblPr>
        <w:tblStyle w:val="Table"/>
        <w:tblW w:type="pct" w:w="0.0"/>
        <w:tblLook w:firstRow="1"/>
        <w:tblCaption w:val="Table 15: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The majority of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21</w:t>
      </w:r>
      <w:r>
        <w:t xml:space="preserve"> </w:t>
      </w:r>
      <w:r>
        <w:t xml:space="preserve">shows the extrema samples with stage at each site.</w:t>
      </w:r>
    </w:p>
    <w:p>
      <w:pPr>
        <w:pStyle w:val="BodyText"/>
      </w:pPr>
      <w:r>
        <w:t xml:space="preserve"> </w:t>
      </w:r>
    </w:p>
    <w:p>
      <w:pPr>
        <w:pStyle w:val="CaptionedFigure"/>
      </w:pPr>
      <w:r>
        <w:drawing>
          <wp:inline>
            <wp:extent cx="5943600" cy="6339839"/>
            <wp:effectExtent b="0" l="0" r="0" t="0"/>
            <wp:docPr descr="Figure 21: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98"/>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Compact"/>
        <w:numPr>
          <w:numId w:val="1005"/>
          <w:ilvl w:val="0"/>
        </w:numPr>
      </w:pPr>
      <w:r>
        <w:rPr>
          <w:i/>
        </w:rPr>
        <w:t xml:space="preserve">needs work:</w:t>
      </w:r>
    </w:p>
    <w:p>
      <w:pPr>
        <w:pStyle w:val="Compact"/>
        <w:numPr>
          <w:numId w:val="1005"/>
          <w:ilvl w:val="0"/>
        </w:numPr>
      </w:pPr>
      <w:r>
        <w:t xml:space="preserve">DOC changes in stormflow</w:t>
      </w:r>
    </w:p>
    <w:p>
      <w:pPr>
        <w:pStyle w:val="Compact"/>
        <w:numPr>
          <w:numId w:val="1005"/>
          <w:ilvl w:val="0"/>
        </w:numPr>
      </w:pPr>
      <w:r>
        <w:t xml:space="preserve">range of DOC in each event:</w:t>
      </w:r>
      <w:r>
        <w:t xml:space="preserve"> </w:t>
      </w:r>
      <w:r>
        <w:t xml:space="preserve">16</w:t>
      </w:r>
    </w:p>
    <w:p>
      <w:pPr>
        <w:pStyle w:val="FirstParagraph"/>
      </w:pPr>
      <w:r>
        <w:t xml:space="preserve"> </w:t>
      </w:r>
    </w:p>
    <w:p>
      <w:pPr>
        <w:pStyle w:val="TableCaption"/>
      </w:pPr>
      <w:r>
        <w:t xml:space="preserve">Table 16:</w:t>
      </w:r>
      <w:r>
        <w:t xml:space="preserve"> </w:t>
      </w:r>
      <w:r>
        <w:rPr>
          <w:i/>
        </w:rPr>
        <w:t xml:space="preserve">Summary of DOC changes within stormflow response to precipitation events across the LWSA (samples from wet season only).</w:t>
      </w:r>
    </w:p>
    <w:tbl>
      <w:tblPr>
        <w:tblStyle w:val="Table"/>
        <w:tblW w:type="pct" w:w="5000.0"/>
        <w:tblLook w:firstRow="1"/>
        <w:tblCaption w:val="Table 16: Summary of DOC changes within stormflow response to precipitation events across the L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To better understand how timing of peak DOC varied among sites during the wet season, a subset of samples was selected for closer analysis (highlighted in Figure</w:t>
      </w:r>
      <w:r>
        <w:t xml:space="preserve"> </w:t>
      </w:r>
      <w:r>
        <w:t xml:space="preserve">21</w:t>
      </w:r>
      <w:r>
        <w:t xml:space="preserve"> </w:t>
      </w:r>
      <w:r>
        <w:t xml:space="preserve">and expanded in Figure</w:t>
      </w:r>
      <w:r>
        <w:t xml:space="preserve"> </w:t>
      </w:r>
      <w:r>
        <w:t xml:space="preserve">22</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17</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17:</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17: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6"/>
          <w:ilvl w:val="0"/>
        </w:numPr>
      </w:pPr>
      <w:r>
        <w:t xml:space="preserve">Rates of stream response (times to peak):</w:t>
      </w:r>
      <w:r>
        <w:t xml:space="preserve"> </w:t>
      </w:r>
      <w:r>
        <w:t xml:space="preserve">18</w:t>
      </w:r>
    </w:p>
    <w:p>
      <w:pPr>
        <w:pStyle w:val="FirstParagraph"/>
      </w:pPr>
      <w:r>
        <w:t xml:space="preserve"> </w:t>
      </w:r>
    </w:p>
    <w:p>
      <w:pPr>
        <w:pStyle w:val="TableCaption"/>
      </w:pPr>
      <w:r>
        <w:t xml:space="preserve">Table 18:</w:t>
      </w:r>
      <w:r>
        <w:t xml:space="preserve"> </w:t>
      </w:r>
      <w:r>
        <w:rPr>
          <w:i/>
        </w:rPr>
        <w:t xml:space="preserve">Summary of stream response to precipitation events 10-12 across the LWSA.</w:t>
      </w:r>
    </w:p>
    <w:tbl>
      <w:tblPr>
        <w:tblStyle w:val="Table"/>
        <w:tblW w:type="pct" w:w="5000.0"/>
        <w:tblLook w:firstRow="1"/>
        <w:tblCaption w:val="Table 18: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7"/>
          <w:ilvl w:val="0"/>
        </w:numPr>
      </w:pPr>
      <w:r>
        <w:t xml:space="preserve">DOC changes in stormflow</w:t>
      </w:r>
    </w:p>
    <w:p>
      <w:pPr>
        <w:pStyle w:val="Compact"/>
        <w:numPr>
          <w:numId w:val="1007"/>
          <w:ilvl w:val="0"/>
        </w:numPr>
      </w:pPr>
      <w:r>
        <w:t xml:space="preserve">range of DOC in each event:</w:t>
      </w:r>
      <w:r>
        <w:t xml:space="preserve"> </w:t>
      </w:r>
      <w:r>
        <w:t xml:space="preserve">19</w:t>
      </w:r>
    </w:p>
    <w:p>
      <w:pPr>
        <w:pStyle w:val="FirstParagraph"/>
      </w:pPr>
      <w:r>
        <w:t xml:space="preserve"> </w:t>
      </w:r>
    </w:p>
    <w:p>
      <w:pPr>
        <w:pStyle w:val="TableCaption"/>
      </w:pPr>
      <w:r>
        <w:t xml:space="preserve">Table 19:</w:t>
      </w:r>
      <w:r>
        <w:t xml:space="preserve"> </w:t>
      </w:r>
      <w:r>
        <w:rPr>
          <w:i/>
        </w:rPr>
        <w:t xml:space="preserve">Summary of DOC changes within stormflow response to precipitation events 10-12 across the LWSA.</w:t>
      </w:r>
    </w:p>
    <w:tbl>
      <w:tblPr>
        <w:tblStyle w:val="Table"/>
        <w:tblW w:type="pct" w:w="5000.0"/>
        <w:tblLook w:firstRow="1"/>
        <w:tblCaption w:val="Table 19: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22: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9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Compact"/>
        <w:numPr>
          <w:numId w:val="1008"/>
          <w:ilvl w:val="0"/>
        </w:numPr>
      </w:pPr>
      <w:r>
        <w:t xml:space="preserve">density plots of stage with DOC, UV</w:t>
      </w:r>
      <w:r>
        <w:rPr>
          <w:vertAlign w:val="subscript"/>
        </w:rPr>
        <w:t xml:space="preserve">254</w:t>
      </w:r>
      <w:r>
        <w:t xml:space="preserve"> </w:t>
      </w:r>
      <w:r>
        <w:t xml:space="preserve">and SUVA~254 for each site:</w:t>
      </w:r>
      <w:r>
        <w:t xml:space="preserve"> </w:t>
      </w:r>
      <w:r>
        <w:t xml:space="preserve">23</w:t>
      </w:r>
    </w:p>
    <w:p>
      <w:pPr>
        <w:pStyle w:val="CaptionedFigure"/>
      </w:pPr>
      <w:r>
        <w:drawing>
          <wp:inline>
            <wp:extent cx="5504749" cy="6422207"/>
            <wp:effectExtent b="0" l="0" r="0" t="0"/>
            <wp:docPr descr="Figure 23:  Two dimensional density distributions of normalized stage in relation to DOC concentration and DOM molecular character parameters." title="" id="1" name="Picture"/>
            <a:graphic>
              <a:graphicData uri="http://schemas.openxmlformats.org/drawingml/2006/picture">
                <pic:pic>
                  <pic:nvPicPr>
                    <pic:cNvPr descr="R-outputs_UBC-forWater-MSc_HMc/figures/StageNorm_DOC-abs-SUVA.png" id="0" name="Picture"/>
                    <pic:cNvPicPr>
                      <a:picLocks noChangeArrowheads="1" noChangeAspect="1"/>
                    </pic:cNvPicPr>
                  </pic:nvPicPr>
                  <pic:blipFill>
                    <a:blip r:embed="rId100"/>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rPr>
          <w:i/>
        </w:rPr>
        <w:t xml:space="preserve">Two dimensional density distributions of normalized stage in relation to DOC concentration and DOM molecular character parameters.</w:t>
      </w:r>
    </w:p>
    <w:p>
      <w:pPr>
        <w:pStyle w:val="Heading3"/>
      </w:pPr>
      <w:bookmarkStart w:id="101" w:name="discussion"/>
      <w:r>
        <w:t xml:space="preserve">Discussion</w:t>
      </w:r>
      <w:bookmarkEnd w:id="101"/>
    </w:p>
    <w:p>
      <w:pPr>
        <w:pStyle w:val="Heading3"/>
      </w:pPr>
      <w:bookmarkStart w:id="102" w:name="conculsions"/>
      <w:r>
        <w:t xml:space="preserve">Conculsions</w:t>
      </w:r>
      <w:bookmarkEnd w:id="102"/>
    </w:p>
    <w:p>
      <w:pPr>
        <w:pStyle w:val="Heading2"/>
      </w:pPr>
      <w:bookmarkStart w:id="103" w:name="X452ae66e8a8d6d65f242c2a1cc1d90fa2cc73d7"/>
      <w:r>
        <w:t xml:space="preserve">Watershed characteristics as predictors for DOC and NOM</w:t>
      </w:r>
      <w:bookmarkEnd w:id="103"/>
    </w:p>
    <w:p>
      <w:pPr>
        <w:pStyle w:val="Heading3"/>
      </w:pPr>
      <w:bookmarkStart w:id="104" w:name="introduction"/>
      <w:r>
        <w:t xml:space="preserve">Introduction</w:t>
      </w:r>
      <w:bookmarkEnd w:id="104"/>
    </w:p>
    <w:p>
      <w:pPr>
        <w:pStyle w:val="FirstParagraph"/>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Heading4"/>
      </w:pPr>
      <w:bookmarkStart w:id="105" w:name="random-forests"/>
      <w:r>
        <w:t xml:space="preserve">Random Forests</w:t>
      </w:r>
      <w:bookmarkEnd w:id="105"/>
    </w:p>
    <w:p>
      <w:pPr>
        <w:pStyle w:val="FirstParagraph"/>
      </w:pPr>
      <w:r>
        <w:t xml:space="preserve">A collection of decision trees is a Random Forest, which play an important role for both predictive modeling and inference purposes.</w:t>
      </w:r>
    </w:p>
    <w:p>
      <w:pPr>
        <w:pStyle w:val="BodyText"/>
      </w:pPr>
      <w:r>
        <w:t xml:space="preserve">The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IN RF, many decision tree area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The relative importance of each feature is determined by assessing the accuracy of how well the predictant variable is anticipated in the absence of that feature.</w:t>
      </w:r>
    </w:p>
    <w:p>
      <w:pPr>
        <w:pStyle w:val="BodyText"/>
      </w:pPr>
      <w:r>
        <w:t xml:space="preserve">The R package RandomForest was built on Breiman’s Random Forests algorithm. RandomForest was used to determine the relative importance of watershed characteristics and conditions in determining DOC concentrations and DOM character in across the six sites of the LWSA.</w:t>
      </w:r>
    </w:p>
    <w:p>
      <w:pPr>
        <w:pStyle w:val="BodyText"/>
      </w:pPr>
      <w:r>
        <w:t xml:space="preserve">(Breiman</w:t>
      </w:r>
      <w:r>
        <w:t xml:space="preserve"> </w:t>
      </w:r>
      <w:hyperlink w:anchor="ref-Breiman2001">
        <w:r>
          <w:rPr>
            <w:rStyle w:val="Hyperlink"/>
          </w:rPr>
          <w:t xml:space="preserve">2001</w:t>
        </w:r>
      </w:hyperlink>
      <w:r>
        <w:t xml:space="preserve">)</w:t>
      </w:r>
    </w:p>
    <w:p>
      <w:pPr>
        <w:pStyle w:val="Heading3"/>
      </w:pPr>
      <w:bookmarkStart w:id="106" w:name="methods"/>
      <w:r>
        <w:t xml:space="preserve">Methods</w:t>
      </w:r>
      <w:bookmarkEnd w:id="106"/>
    </w:p>
    <w:p>
      <w:pPr>
        <w:pStyle w:val="Heading3"/>
      </w:pPr>
      <w:bookmarkStart w:id="107" w:name="results"/>
      <w:r>
        <w:t xml:space="preserve">Results</w:t>
      </w:r>
      <w:bookmarkEnd w:id="107"/>
    </w:p>
    <w:p>
      <w:pPr>
        <w:pStyle w:val="Heading3"/>
      </w:pPr>
      <w:bookmarkStart w:id="108" w:name="discussion"/>
      <w:r>
        <w:t xml:space="preserve">Discussion</w:t>
      </w:r>
      <w:bookmarkEnd w:id="108"/>
    </w:p>
    <w:p>
      <w:pPr>
        <w:pStyle w:val="Heading3"/>
      </w:pPr>
      <w:bookmarkStart w:id="109" w:name="conclusions"/>
      <w:r>
        <w:t xml:space="preserve">Conclusions</w:t>
      </w:r>
      <w:bookmarkEnd w:id="109"/>
    </w:p>
    <w:p>
      <w:pPr>
        <w:pStyle w:val="Heading2"/>
      </w:pPr>
      <w:bookmarkStart w:id="110" w:name="X8db5f38833cbb48dc6afb8e20d30ffa86edd60c"/>
      <w:r>
        <w:t xml:space="preserve">Discussion of results in context of drinking water supply</w:t>
      </w:r>
      <w:bookmarkEnd w:id="110"/>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Heading2"/>
      </w:pPr>
      <w:bookmarkStart w:id="111" w:name="summary-and-concluding-remarks"/>
      <w:r>
        <w:t xml:space="preserve">Summary and concluding remarks</w:t>
      </w:r>
      <w:bookmarkEnd w:id="111"/>
    </w:p>
    <w:p>
      <w:pPr>
        <w:pStyle w:val="FirstParagraph"/>
      </w:pPr>
      <w:r>
        <w:rPr>
          <w:i/>
          <w:b/>
        </w:rPr>
        <w:t xml:space="preserve">answer all these questions in summary</w:t>
      </w:r>
    </w:p>
    <w:p>
      <w:pPr>
        <w:pStyle w:val="BodyText"/>
      </w:pPr>
      <w:r>
        <w:rPr>
          <w:b/>
        </w:rPr>
        <w:t xml:space="preserve">RQ.1.</w:t>
      </w:r>
      <w:r>
        <w:t xml:space="preserve"> </w:t>
      </w:r>
      <w:r>
        <w:t xml:space="preserve">What are the ranges for DOC concentration and NOM character between adjacent drainage basins and among nested sub-catchments in this water supply area, and what influence does seasonality have on concentration of DOC and character of NOM?</w:t>
      </w:r>
    </w:p>
    <w:p>
      <w:pPr>
        <w:pStyle w:val="BodyText"/>
      </w:pPr>
      <w:r>
        <w:rPr>
          <w:b/>
        </w:rPr>
        <w:t xml:space="preserve">Objective 1:</w:t>
      </w:r>
      <w:r>
        <w:t xml:space="preserve"> </w:t>
      </w:r>
      <w:r>
        <w:t xml:space="preserve">Design a sampling strategy to measure the spatial and temporal variation of DOC concentration and NOM character, then describe spatiotemporal patterns that were observed.</w:t>
      </w:r>
    </w:p>
    <w:p>
      <w:pPr>
        <w:pStyle w:val="BodyText"/>
      </w:pPr>
      <w:r>
        <w:t xml:space="preserve"> </w:t>
      </w:r>
    </w:p>
    <w:p>
      <w:pPr>
        <w:pStyle w:val="BodyText"/>
      </w:pPr>
      <w:r>
        <w:rPr>
          <w:b/>
        </w:rPr>
        <w:t xml:space="preserve">RQ.2.</w:t>
      </w:r>
      <w:r>
        <w:t xml:space="preserve"> </w:t>
      </w:r>
      <w:r>
        <w:t xml:space="preserve">Are hydrological processes the main driver for DOC transport and variation in the LWSA and is there a mechanistic relationship between river stage and DOC or NOM?</w:t>
      </w:r>
    </w:p>
    <w:p>
      <w:pPr>
        <w:pStyle w:val="BodyText"/>
      </w:pPr>
      <w:r>
        <w:rPr>
          <w:b/>
        </w:rPr>
        <w:t xml:space="preserve">Objective 2:</w:t>
      </w:r>
      <w:r>
        <w:t xml:space="preserve"> </w:t>
      </w:r>
      <w:r>
        <w:t xml:space="preserve">Relate water sample results to river stage and report on the relationships between DOC concentrations and NOM character with stage, particularly paying attention to differences between baseflow and storm events.</w:t>
      </w:r>
    </w:p>
    <w:p>
      <w:pPr>
        <w:pStyle w:val="BodyText"/>
      </w:pPr>
      <w:r>
        <w:t xml:space="preserve"> </w:t>
      </w:r>
    </w:p>
    <w:p>
      <w:pPr>
        <w:pStyle w:val="BodyText"/>
      </w:pPr>
      <w:r>
        <w:rPr>
          <w:b/>
        </w:rPr>
        <w:t xml:space="preserve">RQ.3.</w:t>
      </w:r>
      <w:r>
        <w:t xml:space="preserve"> </w:t>
      </w:r>
      <w:r>
        <w:t xml:space="preserve">Are some watershed characteristics more important than others for influencing DOC and NOM dynamics?</w:t>
      </w:r>
    </w:p>
    <w:p>
      <w:pPr>
        <w:pStyle w:val="BodyText"/>
      </w:pPr>
      <w:r>
        <w:rPr>
          <w:b/>
        </w:rPr>
        <w:t xml:space="preserve">Objective 3:</w:t>
      </w:r>
      <w:r>
        <w:t xml:space="preserve"> </w:t>
      </w:r>
      <w:r>
        <w:t xml:space="preserve">Assess the importance of watershed characteristics and conditions as explanatory variables for DOC and DOM patterns.</w:t>
      </w:r>
    </w:p>
    <w:p>
      <w:pPr>
        <w:pStyle w:val="BodyText"/>
      </w:pPr>
      <w:r>
        <w:t xml:space="preserve"> </w:t>
      </w:r>
    </w:p>
    <w:p>
      <w:pPr>
        <w:pStyle w:val="BodyText"/>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2" w:name="references"/>
      <w:r>
        <w:t xml:space="preserve">References</w:t>
      </w:r>
      <w:bookmarkEnd w:id="112"/>
    </w:p>
    <w:p>
      <w:pPr>
        <w:pStyle w:val="Heading1"/>
      </w:pPr>
      <w:bookmarkStart w:id="113" w:name="appendices"/>
      <w:r>
        <w:t xml:space="preserve">Appendices</w:t>
      </w:r>
      <w:bookmarkEnd w:id="113"/>
    </w:p>
    <w:p>
      <w:pPr>
        <w:pStyle w:val="Heading7"/>
      </w:pPr>
      <w:bookmarkStart w:id="114" w:name="introduction-extended-background"/>
      <w:r>
        <w:t xml:space="preserve">Introduction: extended background</w:t>
      </w:r>
      <w:bookmarkEnd w:id="114"/>
    </w:p>
    <w:p>
      <w:pPr>
        <w:pStyle w:val="Heading8"/>
      </w:pPr>
      <w:bookmarkStart w:id="115" w:name="the-nserc-forwater-network"/>
      <w:r>
        <w:t xml:space="preserve">The NSERC forWater Network</w:t>
      </w:r>
      <w:bookmarkEnd w:id="115"/>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Heading8"/>
      </w:pPr>
      <w:bookmarkStart w:id="116" w:name="X264f14d3eae9d18c35d78736d0a098750021930"/>
      <w:r>
        <w:t xml:space="preserve">Greater Victoria Regional Water Supply System</w:t>
      </w:r>
      <w:bookmarkEnd w:id="116"/>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Heading8"/>
      </w:pPr>
      <w:bookmarkStart w:id="117" w:name="Xe968f3c83cbcc4b5a1983307cc0905fcf58e8c8"/>
      <w:r>
        <w:t xml:space="preserve">Leech watershed monitoring sites: details and observations</w:t>
      </w:r>
      <w:bookmarkEnd w:id="117"/>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8"/>
      </w:pPr>
      <w:bookmarkStart w:id="118" w:name="lwsa-sites"/>
      <w:r>
        <w:t xml:space="preserve">LWSA Sites</w:t>
      </w:r>
      <w:bookmarkEnd w:id="118"/>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rPr>
          <w:i/>
          <w:b/>
        </w:rPr>
        <w:t xml:space="preserve">Weeks Outlet</w:t>
      </w:r>
    </w:p>
    <w:p>
      <w:pPr>
        <w:pStyle w:val="BodyText"/>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BodyText"/>
      </w:pPr>
      <w:r>
        <w:t xml:space="preserve"> </w:t>
      </w:r>
    </w:p>
    <w:p>
      <w:pPr>
        <w:pStyle w:val="BodyText"/>
      </w:pPr>
      <w:r>
        <w:rPr>
          <w:i/>
          <w:b/>
        </w:rPr>
        <w:t xml:space="preserve">Chris Creek</w:t>
      </w:r>
    </w:p>
    <w:p>
      <w:pPr>
        <w:pStyle w:val="BodyText"/>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BodyText"/>
      </w:pPr>
      <w:r>
        <w:t xml:space="preserve"> </w:t>
      </w:r>
    </w:p>
    <w:p>
      <w:pPr>
        <w:pStyle w:val="BodyText"/>
      </w:pPr>
      <w:r>
        <w:rPr>
          <w:i/>
          <w:b/>
        </w:rPr>
        <w:t xml:space="preserve">Leech Head</w:t>
      </w:r>
    </w:p>
    <w:p>
      <w:pPr>
        <w:pStyle w:val="BodyText"/>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t xml:space="preserve"> </w:t>
      </w:r>
    </w:p>
    <w:p>
      <w:pPr>
        <w:pStyle w:val="BodyText"/>
      </w:pPr>
      <w:r>
        <w:rPr>
          <w:i/>
          <w:b/>
        </w:rPr>
        <w:t xml:space="preserve">Cragg Creek</w:t>
      </w:r>
    </w:p>
    <w:p>
      <w:pPr>
        <w:pStyle w:val="BodyText"/>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BodyText"/>
      </w:pPr>
      <w:r>
        <w:t xml:space="preserve"> </w:t>
      </w:r>
    </w:p>
    <w:p>
      <w:pPr>
        <w:pStyle w:val="BodyText"/>
      </w:pPr>
      <w:r>
        <w:rPr>
          <w:i/>
          <w:b/>
        </w:rPr>
        <w:t xml:space="preserve">West Leech</w:t>
      </w:r>
    </w:p>
    <w:p>
      <w:pPr>
        <w:pStyle w:val="BodyText"/>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BodyText"/>
      </w:pPr>
      <w:r>
        <w:t xml:space="preserve"> </w:t>
      </w:r>
    </w:p>
    <w:p>
      <w:pPr>
        <w:pStyle w:val="BodyText"/>
      </w:pPr>
      <w:r>
        <w:rPr>
          <w:i/>
          <w:b/>
        </w:rPr>
        <w:t xml:space="preserve">Leech Tunnel</w:t>
      </w:r>
    </w:p>
    <w:p>
      <w:pPr>
        <w:pStyle w:val="BodyText"/>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 bed here is dominated by Schist bedrock and boulders. The bedrock in the center of the channel is deeply incised, but overall the river is wider than is is deep. The Tunnel site is approximately 1km downstream of the West Leech confluence.</w:t>
      </w:r>
    </w:p>
    <w:p>
      <w:pPr>
        <w:pStyle w:val="Heading8"/>
      </w:pPr>
      <w:bookmarkStart w:id="119" w:name="fwx-stations-in-the-lwsa"/>
      <w:r>
        <w:t xml:space="preserve">FWx stations in the LWSA</w:t>
      </w:r>
      <w:bookmarkEnd w:id="119"/>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The CRD provided weather station data from Chris Creek and Martin’s Gulch weather stations from January 2018 to March 2020. Rainfall and air temperature from each of the two LWSA weather stations is shown in Figure</w:t>
      </w:r>
      <w:r>
        <w:t xml:space="preserve"> </w:t>
      </w:r>
      <w:r>
        <w:t xml:space="preserve">24</w:t>
      </w:r>
      <w:r>
        <w:t xml:space="preserve">. Slightly more precipitation was recorded at Martin’s Gulch than Chris Creek station. Annual weather data from each of the LWSA weather stations are summarized in Table</w:t>
      </w:r>
      <w:r>
        <w:t xml:space="preserve"> </w:t>
      </w:r>
      <w:r>
        <w:t xml:space="preserve">20</w:t>
      </w:r>
      <w:r>
        <w:t xml:space="preserve">.</w:t>
      </w:r>
    </w:p>
    <w:p>
      <w:pPr>
        <w:pStyle w:val="BodyText"/>
      </w:pPr>
      <w:r>
        <w:t xml:space="preserve"> </w:t>
      </w:r>
    </w:p>
    <w:p>
      <w:pPr>
        <w:pStyle w:val="CaptionedFigure"/>
      </w:pPr>
      <w:r>
        <w:drawing>
          <wp:inline>
            <wp:extent cx="5504749" cy="4587290"/>
            <wp:effectExtent b="0" l="0" r="0" t="0"/>
            <wp:docPr descr="Figure 24:  Weather from two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20"/>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rPr>
          <w:i/>
        </w:rPr>
        <w:t xml:space="preserve">Weather from two stations in the Leech water supply area. Coloured sections of plots highlight the field study period of this project.</w:t>
      </w:r>
    </w:p>
    <w:p>
      <w:pPr>
        <w:pStyle w:val="BodyText"/>
      </w:pPr>
      <w:r>
        <w:t xml:space="preserve"> </w:t>
      </w:r>
    </w:p>
    <w:p>
      <w:pPr>
        <w:pStyle w:val="TableCaption"/>
      </w:pPr>
      <w:r>
        <w:t xml:space="preserve">Table 20:</w:t>
      </w:r>
      <w:r>
        <w:t xml:space="preserve"> </w:t>
      </w:r>
      <w:r>
        <w:rPr>
          <w:i/>
        </w:rPr>
        <w:t xml:space="preserve">Two years of weather from CRD stations in Leech water supply area</w:t>
      </w:r>
    </w:p>
    <w:tbl>
      <w:tblPr>
        <w:tblStyle w:val="Table"/>
        <w:tblW w:type="pct" w:w="5000.0"/>
        <w:tblLook w:firstRow="1"/>
        <w:tblCaption w:val="Table 20: Two years of weather from CRD stations in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7"/>
      </w:pPr>
      <w:bookmarkStart w:id="121" w:name="sampling-methods-extended"/>
      <w:r>
        <w:t xml:space="preserve">Sampling methods extended</w:t>
      </w:r>
      <w:bookmarkEnd w:id="121"/>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BodyText"/>
      </w:pPr>
      <w:r>
        <w:rPr>
          <w:i/>
          <w:b/>
        </w:rPr>
        <w:t xml:space="preserve">Vertical racks</w:t>
      </w:r>
    </w:p>
    <w:p>
      <w:pPr>
        <w:pStyle w:val="BodyText"/>
      </w:pPr>
      <w:r>
        <w:rPr>
          <w:i/>
        </w:rPr>
        <w:t xml:space="preserve">Passive water sampling on the rising limb of hydrograph</w:t>
      </w:r>
    </w:p>
    <w:p>
      <w:pPr>
        <w:pStyle w:val="BodyText"/>
      </w:pPr>
      <w:r>
        <w:t xml:space="preserve">Each vertical rack included a central stilling well (1.5" PCV pipe (conduit) with 1/2" holes drilled along the length) that had a measuring tape affixed to the front. Inside the stilling well was an Odyssey Capacitance water level logger (odysseydatarecording.com).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discrete sample collection was addressed in the Methods QA/QC section.</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Heading8"/>
      </w:pPr>
      <w:bookmarkStart w:id="122" w:name="X4e3eb70344da6a931ae15671e47b67ae69cdd36"/>
      <w:r>
        <w:t xml:space="preserve">Prototype for falling limb passive sampling</w:t>
      </w:r>
      <w:bookmarkEnd w:id="122"/>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8"/>
      </w:pPr>
      <w:bookmarkStart w:id="123" w:name="field-protocol"/>
      <w:r>
        <w:t xml:space="preserve">Field protocol</w:t>
      </w:r>
      <w:bookmarkEnd w:id="123"/>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4" w:name="X2d89b5d6f202e03997b814e44f6e42dfdd5249c"/>
      <w:r>
        <w:t xml:space="preserve">Collaborative sampling: forWater-coordinated treatability analyses</w:t>
      </w:r>
      <w:bookmarkEnd w:id="124"/>
    </w:p>
    <w:p>
      <w:pPr>
        <w:pStyle w:val="Heading8"/>
      </w:pPr>
      <w:bookmarkStart w:id="125" w:name="methods-treatability-doc"/>
      <w:r>
        <w:t xml:space="preserve">Methods: Treatability &amp; DOC</w:t>
      </w:r>
      <w:bookmarkEnd w:id="125"/>
    </w:p>
    <w:p>
      <w:pPr>
        <w:pStyle w:val="FirstParagraph"/>
      </w:pPr>
      <w:r>
        <w:rPr>
          <w:b/>
        </w:rPr>
        <w:t xml:space="preserve">sites</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8"/>
      </w:pPr>
      <w:bookmarkStart w:id="126" w:name="results-treatability-doc"/>
      <w:r>
        <w:t xml:space="preserve">Results: Treatability &amp; DOC</w:t>
      </w:r>
      <w:bookmarkEnd w:id="126"/>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25</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25: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7"/>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8" w:name="Xff3df6f0b5125afdf67e23fe1c58fcbb9379388"/>
      <w:r>
        <w:t xml:space="preserve">Collaborative sampling: Sampling for Metals on behalf of the CRD</w:t>
      </w:r>
      <w:bookmarkEnd w:id="128"/>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rPr>
          <w:i/>
          <w:b/>
        </w:rPr>
        <w:t xml:space="preserve">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26</w:t>
      </w:r>
      <w:r>
        <w:t xml:space="preserve"> </w:t>
      </w:r>
      <w:r>
        <w:t xml:space="preserve">shows DOC with total metals in μg/L, and Figure</w:t>
      </w:r>
      <w:r>
        <w:t xml:space="preserve"> </w:t>
      </w:r>
      <w:r>
        <w:t xml:space="preserve">27</w:t>
      </w:r>
      <w:r>
        <w:t xml:space="preserve"> </w:t>
      </w:r>
      <w:r>
        <w:t xml:space="preserve">shows metals in mg/L).</w:t>
      </w:r>
    </w:p>
    <w:p>
      <w:pPr>
        <w:pStyle w:val="BodyText"/>
      </w:pPr>
      <w:r>
        <w:t xml:space="preserve"> </w:t>
      </w:r>
    </w:p>
    <w:p>
      <w:pPr>
        <w:pStyle w:val="CaptionedFigure"/>
      </w:pPr>
      <w:r>
        <w:drawing>
          <wp:inline>
            <wp:extent cx="5923721" cy="7767812"/>
            <wp:effectExtent b="0" l="0" r="0" t="0"/>
            <wp:docPr descr="Figure 26: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29"/>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23721" cy="7767812"/>
            <wp:effectExtent b="0" l="0" r="0" t="0"/>
            <wp:docPr descr="Figure 27: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0"/>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21</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21:</w:t>
      </w:r>
      <w:r>
        <w:t xml:space="preserve"> </w:t>
      </w:r>
      <w:r>
        <w:rPr>
          <w:i/>
        </w:rPr>
        <w:t xml:space="preserve">Relationships between total metals with dissolved organic carbon</w:t>
      </w:r>
    </w:p>
    <w:tbl>
      <w:tblPr>
        <w:tblStyle w:val="Table"/>
        <w:tblW w:type="pct" w:w="0.0"/>
        <w:tblLook w:firstRow="1"/>
        <w:tblCaption w:val="Table 21: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31" w:name="X7ee1f76bfb593a9b3e18ceeca2b4d4b14167b59"/>
      <w:r>
        <w:t xml:space="preserve">Ancillary data results extended: temperatures at vertical racks</w:t>
      </w:r>
      <w:bookmarkEnd w:id="131"/>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28</w:t>
      </w:r>
      <w:r>
        <w:t xml:space="preserve">).</w:t>
      </w:r>
    </w:p>
    <w:p>
      <w:pPr>
        <w:pStyle w:val="CaptionedFigure"/>
      </w:pPr>
      <w:r>
        <w:drawing>
          <wp:inline>
            <wp:extent cx="5504749" cy="5504749"/>
            <wp:effectExtent b="0" l="0" r="0" t="0"/>
            <wp:docPr descr="Figure 28: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28:</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29</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29: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33"/>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29:</w:t>
      </w:r>
      <w:r>
        <w:t xml:space="preserve"> </w:t>
      </w:r>
      <w:r>
        <w:rPr>
          <w:i/>
        </w:rPr>
        <w:t xml:space="preserve">Temperatures recorded in air and water on vertical racks at each research site.</w:t>
      </w:r>
    </w:p>
    <w:p>
      <w:pPr>
        <w:pStyle w:val="BodyText"/>
      </w:pPr>
      <w:r>
        <w:t xml:space="preserve"> </w:t>
      </w:r>
    </w:p>
    <w:p>
      <w:pPr>
        <w:pStyle w:val="Heading8"/>
      </w:pPr>
      <w:bookmarkStart w:id="134" w:name="Xcb91ee272f7dfa22c755b18931f0aed63be860e"/>
      <w:r>
        <w:t xml:space="preserve">Linear regression: air temperature estimation</w:t>
      </w:r>
      <w:bookmarkEnd w:id="134"/>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30</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0: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3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30:</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22</w:t>
      </w:r>
      <w:r>
        <w:t xml:space="preserve">) with no statistical difference (at 90% confidence) for Cragg Crk, West Leech and the Tunnel (sites 4, 5, 6).</w:t>
      </w:r>
    </w:p>
    <w:p>
      <w:pPr>
        <w:pStyle w:val="BodyText"/>
      </w:pPr>
      <w:r>
        <w:t xml:space="preserve"> </w:t>
      </w:r>
    </w:p>
    <w:p>
      <w:pPr>
        <w:pStyle w:val="TableCaption"/>
      </w:pPr>
      <w:r>
        <w:t xml:space="preserve">Table 22:</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2: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31</w:t>
      </w:r>
      <w:r>
        <w:t xml:space="preserve">). Table</w:t>
      </w:r>
      <w:r>
        <w:t xml:space="preserve"> </w:t>
      </w:r>
      <w:r>
        <w:t xml:space="preserve">23</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23:</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3: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1: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3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31:</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37" w:name="ancilary-data-climate-context"/>
      <w:r>
        <w:t xml:space="preserve">Ancilary data: climate context</w:t>
      </w:r>
      <w:bookmarkEnd w:id="137"/>
    </w:p>
    <w:p>
      <w:pPr>
        <w:pStyle w:val="FirstParagraph"/>
      </w:pPr>
      <w:r>
        <w:rPr>
          <w:b/>
        </w:rPr>
        <w:t xml:space="preserve">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32</w:t>
      </w:r>
      <w:r>
        <w:t xml:space="preserve"> </w:t>
      </w:r>
      <w:r>
        <w:t xml:space="preserve">shows Malahat weather data, which are summarized in Table</w:t>
      </w:r>
      <w:r>
        <w:t xml:space="preserve"> </w:t>
      </w:r>
      <w:r>
        <w:t xml:space="preserve">24</w:t>
      </w:r>
      <w:r>
        <w:t xml:space="preserve">.</w:t>
      </w:r>
    </w:p>
    <w:p>
      <w:pPr>
        <w:pStyle w:val="CaptionedFigure"/>
      </w:pPr>
      <w:r>
        <w:drawing>
          <wp:inline>
            <wp:extent cx="5923721" cy="7767812"/>
            <wp:effectExtent b="0" l="0" r="0" t="0"/>
            <wp:docPr descr="Figure 32: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8"/>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24:</w:t>
      </w:r>
      <w:r>
        <w:t xml:space="preserve"> </w:t>
      </w:r>
      <w:r>
        <w:rPr>
          <w:i/>
        </w:rPr>
        <w:t xml:space="preserve">Annual weather data from Malahat station (MoTI ID 62091)</w:t>
      </w:r>
    </w:p>
    <w:tbl>
      <w:tblPr>
        <w:tblStyle w:val="Table"/>
        <w:tblW w:type="pct" w:w="0.0"/>
        <w:tblLook w:firstRow="1"/>
        <w:tblCaption w:val="Table 24: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33</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23721" cy="7767812"/>
            <wp:effectExtent b="0" l="0" r="0" t="0"/>
            <wp:docPr descr="Figure 33: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9"/>
                    <a:stretch>
                      <a:fillRect/>
                    </a:stretch>
                  </pic:blipFill>
                  <pic:spPr bwMode="auto">
                    <a:xfrm>
                      <a:off x="0" y="0"/>
                      <a:ext cx="5923721" cy="7767812"/>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25:</w:t>
      </w:r>
      <w:r>
        <w:t xml:space="preserve"> </w:t>
      </w:r>
      <w:r>
        <w:rPr>
          <w:i/>
        </w:rPr>
        <w:t xml:space="preserve">Results of Wilcoxon test for Malahat weather data before and during the study period</w:t>
      </w:r>
    </w:p>
    <w:tbl>
      <w:tblPr>
        <w:tblStyle w:val="Table"/>
        <w:tblW w:type="pct" w:w="0.0"/>
        <w:tblLook w:firstRow="1"/>
        <w:tblCaption w:val="Table 25: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40" w:name="nitrate-doc"/>
      <w:r>
        <w:t xml:space="preserve">??Nitrate &amp; DOC??</w:t>
      </w:r>
      <w:bookmarkEnd w:id="140"/>
    </w:p>
    <w:p>
      <w:pPr>
        <w:pStyle w:val="FirstParagraph"/>
      </w:pPr>
      <w:r>
        <w:t xml:space="preserve">Each sample that was analyzed on the Spectrolyser resulted in an estimate of DOC and nitrate concentrations based on sample UV-Vis light absorption. Estimated concentrations of nitrate were positively related to DOC concentration and UV-absorbance based estimates of DOC concentration were more strongly correlated to nitrate estimates (Figure</w:t>
      </w:r>
      <w:r>
        <w:t xml:space="preserve"> </w:t>
      </w:r>
      <w:r>
        <w:t xml:space="preserve">34</w:t>
      </w:r>
      <w:r>
        <w:t xml:space="preserve">). Nitrate can be a spectroscopic interferant for DOM estimates, and it’s unclear how the spectrolyser destinguishes between the two.</w:t>
      </w:r>
    </w:p>
    <w:p>
      <w:pPr>
        <w:pStyle w:val="BodyText"/>
      </w:pPr>
      <w:r>
        <w:t xml:space="preserve"> </w:t>
      </w:r>
    </w:p>
    <w:p>
      <w:pPr>
        <w:pStyle w:val="CaptionedFigure"/>
      </w:pPr>
      <w:r>
        <w:drawing>
          <wp:inline>
            <wp:extent cx="5504749" cy="3669832"/>
            <wp:effectExtent b="0" l="0" r="0" t="0"/>
            <wp:docPr descr="Figure 34:  Concentration of nitrate (estimated via UV-Vis absorption) and dissolved organic carbon." title="" id="1" name="Picture"/>
            <a:graphic>
              <a:graphicData uri="http://schemas.openxmlformats.org/drawingml/2006/picture">
                <pic:pic>
                  <pic:nvPicPr>
                    <pic:cNvPr descr="R-outputs_UBC-forWater-MSc_HMc/figures/nitrate-DOC_scatter.png" id="0" name="Picture"/>
                    <pic:cNvPicPr>
                      <a:picLocks noChangeArrowheads="1" noChangeAspect="1"/>
                    </pic:cNvPicPr>
                  </pic:nvPicPr>
                  <pic:blipFill>
                    <a:blip r:embed="rId14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Concentration of nitrate (estimated via UV-Vis absorption) and dissolved organic carbon.</w:t>
      </w:r>
    </w:p>
    <w:p>
      <w:pPr>
        <w:pStyle w:val="BodyText"/>
      </w:pPr>
      <w:r>
        <w:t xml:space="preserve"> </w:t>
      </w:r>
    </w:p>
    <w:p>
      <w:pPr>
        <w:pStyle w:val="BodyText"/>
      </w:pPr>
      <w:r>
        <w:rPr>
          <w:i/>
          <w:b/>
        </w:rPr>
        <w:t xml:space="preserve">?</w:t>
      </w:r>
    </w:p>
    <w:p>
      <w:pPr>
        <w:pStyle w:val="Compact"/>
        <w:numPr>
          <w:numId w:val="1013"/>
          <w:ilvl w:val="0"/>
        </w:numPr>
      </w:pPr>
      <w:r>
        <w:t xml:space="preserve">Gauging Streamflow (?)</w:t>
      </w:r>
    </w:p>
    <w:bookmarkStart w:id="254" w:name="refs"/>
    <w:bookmarkStart w:id="143"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42">
        <w:r>
          <w:rPr>
            <w:rStyle w:val="Hyperlink"/>
          </w:rPr>
          <w:t xml:space="preserve">https://doi.org/10.1111/ele.12897</w:t>
        </w:r>
      </w:hyperlink>
      <w:r>
        <w:t xml:space="preserve">.</w:t>
      </w:r>
    </w:p>
    <w:bookmarkEnd w:id="143"/>
    <w:bookmarkStart w:id="145"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44">
        <w:r>
          <w:rPr>
            <w:rStyle w:val="Hyperlink"/>
          </w:rPr>
          <w:t xml:space="preserve">https://doi.org/10.1002/j.1551-8833.1995.tb06299.x</w:t>
        </w:r>
      </w:hyperlink>
      <w:r>
        <w:t xml:space="preserve">.</w:t>
      </w:r>
    </w:p>
    <w:bookmarkEnd w:id="145"/>
    <w:bookmarkStart w:id="147"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46">
        <w:r>
          <w:rPr>
            <w:rStyle w:val="Hyperlink"/>
          </w:rPr>
          <w:t xml:space="preserve">https://doi.org/10.1021/es103992s</w:t>
        </w:r>
      </w:hyperlink>
      <w:r>
        <w:t xml:space="preserve">.</w:t>
      </w:r>
    </w:p>
    <w:bookmarkEnd w:id="147"/>
    <w:bookmarkStart w:id="149"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48">
        <w:r>
          <w:rPr>
            <w:rStyle w:val="Hyperlink"/>
          </w:rPr>
          <w:t xml:space="preserve">https://doi.org/10.1016/j.jhydrol.2014.05.060</w:t>
        </w:r>
      </w:hyperlink>
      <w:r>
        <w:t xml:space="preserve">.</w:t>
      </w:r>
    </w:p>
    <w:bookmarkEnd w:id="149"/>
    <w:bookmarkStart w:id="151"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50">
        <w:r>
          <w:rPr>
            <w:rStyle w:val="Hyperlink"/>
          </w:rPr>
          <w:t xml:space="preserve">https://doi.org/10.1029/2007JG000674</w:t>
        </w:r>
      </w:hyperlink>
      <w:r>
        <w:t xml:space="preserve">.</w:t>
      </w:r>
    </w:p>
    <w:bookmarkEnd w:id="151"/>
    <w:bookmarkStart w:id="153"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52">
        <w:r>
          <w:rPr>
            <w:rStyle w:val="Hyperlink"/>
          </w:rPr>
          <w:t xml:space="preserve">http://www.standardmethods.org/</w:t>
        </w:r>
      </w:hyperlink>
      <w:r>
        <w:t xml:space="preserve">.</w:t>
      </w:r>
    </w:p>
    <w:bookmarkEnd w:id="153"/>
    <w:bookmarkStart w:id="155"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54">
        <w:r>
          <w:rPr>
            <w:rStyle w:val="Hyperlink"/>
          </w:rPr>
          <w:t xml:space="preserve">https://doi.org/10.2105/SMWW.2882.113</w:t>
        </w:r>
      </w:hyperlink>
      <w:r>
        <w:t xml:space="preserve">.</w:t>
      </w:r>
    </w:p>
    <w:bookmarkEnd w:id="155"/>
    <w:bookmarkStart w:id="157"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56">
        <w:r>
          <w:rPr>
            <w:rStyle w:val="Hyperlink"/>
          </w:rPr>
          <w:t xml:space="preserve">https://doi.org/10.1007/s11749-016-0481-7</w:t>
        </w:r>
      </w:hyperlink>
      <w:r>
        <w:t xml:space="preserve">.</w:t>
      </w:r>
    </w:p>
    <w:bookmarkEnd w:id="157"/>
    <w:bookmarkStart w:id="159"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58">
        <w:r>
          <w:rPr>
            <w:rStyle w:val="Hyperlink"/>
          </w:rPr>
          <w:t xml:space="preserve">https://doi.org/10.1201/9780367816377-11</w:t>
        </w:r>
      </w:hyperlink>
      <w:r>
        <w:t xml:space="preserve">.</w:t>
      </w:r>
    </w:p>
    <w:bookmarkEnd w:id="159"/>
    <w:bookmarkStart w:id="161" w:name="ref-BC2019"/>
    <w:p>
      <w:pPr>
        <w:pStyle w:val="Bibliography"/>
      </w:pPr>
      <w:r>
        <w:t xml:space="preserve">British Columbia Ministry of Environment. 2017. “Source Drinking Water Quality Guidelines: Guideline Summary.” Victoria, B.C.: Prov. B.C.</w:t>
      </w:r>
      <w:r>
        <w:t xml:space="preserve"> </w:t>
      </w:r>
      <w:hyperlink r:id="rId160">
        <w:r>
          <w:rPr>
            <w:rStyle w:val="Hyperlink"/>
          </w:rPr>
          <w:t xml:space="preserve">https://www2.gov.bc.ca/gov/content/governments/organizational-structure/ministries-organizations/ministries/environment-climate-change</w:t>
        </w:r>
      </w:hyperlink>
      <w:r>
        <w:t xml:space="preserve">.</w:t>
      </w:r>
    </w:p>
    <w:bookmarkEnd w:id="161"/>
    <w:bookmarkStart w:id="162" w:name="ref-CCME2004"/>
    <w:p>
      <w:pPr>
        <w:pStyle w:val="Bibliography"/>
      </w:pPr>
      <w:r>
        <w:t xml:space="preserve">Canadian Council of Ministers of the Environment. 2004. “From source to tap : guidance on the multi-barrier approach to safe drinking water.”</w:t>
      </w:r>
    </w:p>
    <w:bookmarkEnd w:id="162"/>
    <w:bookmarkStart w:id="164"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63">
        <w:r>
          <w:rPr>
            <w:rStyle w:val="Hyperlink"/>
          </w:rPr>
          <w:t xml:space="preserve">https://doi.org/10.2166/aqua.2008.064</w:t>
        </w:r>
      </w:hyperlink>
      <w:r>
        <w:t xml:space="preserve">.</w:t>
      </w:r>
    </w:p>
    <w:bookmarkEnd w:id="164"/>
    <w:bookmarkStart w:id="166" w:name="ref-CapitalRegionDistrict2017"/>
    <w:p>
      <w:pPr>
        <w:pStyle w:val="Bibliography"/>
      </w:pPr>
      <w:r>
        <w:t xml:space="preserve">CRD. 2017. “Regional Water Supply 2017 Strategic Plan.” Victoria, B.C.: Capital Region District, Integrated Water Services.</w:t>
      </w:r>
      <w:r>
        <w:t xml:space="preserve"> </w:t>
      </w:r>
      <w:hyperlink r:id="rId165">
        <w:r>
          <w:rPr>
            <w:rStyle w:val="Hyperlink"/>
          </w:rPr>
          <w:t xml:space="preserve">https://www.crd.bc.ca/project/past-capital-projects-and-initiatives/water-supply-plan</w:t>
        </w:r>
      </w:hyperlink>
      <w:r>
        <w:t xml:space="preserve">.</w:t>
      </w:r>
    </w:p>
    <w:bookmarkEnd w:id="166"/>
    <w:bookmarkStart w:id="168"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67">
        <w:r>
          <w:rPr>
            <w:rStyle w:val="Hyperlink"/>
          </w:rPr>
          <w:t xml:space="preserve">https://doi.org/IWSS-297445977-5079</w:t>
        </w:r>
      </w:hyperlink>
      <w:r>
        <w:t xml:space="preserve">.</w:t>
      </w:r>
    </w:p>
    <w:bookmarkEnd w:id="168"/>
    <w:bookmarkStart w:id="169" w:name="ref-CRD2020"/>
    <w:p>
      <w:pPr>
        <w:pStyle w:val="Bibliography"/>
      </w:pPr>
      <w:r>
        <w:t xml:space="preserve">———. 2020. “Unpublished weather station data, Greater Victoria Water Supply Area.” Victoria, B.C.: Capital Regional District, Watershed Protection Division, Integrated Water Services.</w:t>
      </w:r>
    </w:p>
    <w:bookmarkEnd w:id="169"/>
    <w:bookmarkStart w:id="171"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70">
        <w:r>
          <w:rPr>
            <w:rStyle w:val="Hyperlink"/>
          </w:rPr>
          <w:t xml:space="preserve">https://doi.org/10.1139/cjfas-2014-0400</w:t>
        </w:r>
      </w:hyperlink>
      <w:r>
        <w:t xml:space="preserve">.</w:t>
      </w:r>
    </w:p>
    <w:bookmarkEnd w:id="171"/>
    <w:bookmarkStart w:id="173"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72">
        <w:r>
          <w:rPr>
            <w:rStyle w:val="Hyperlink"/>
          </w:rPr>
          <w:t xml:space="preserve">https://doi.org/10.1016/B978-0-12-382092-1.00019-1</w:t>
        </w:r>
      </w:hyperlink>
      <w:r>
        <w:t xml:space="preserve">.</w:t>
      </w:r>
    </w:p>
    <w:bookmarkEnd w:id="173"/>
    <w:bookmarkStart w:id="175"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74">
        <w:r>
          <w:rPr>
            <w:rStyle w:val="Hyperlink"/>
          </w:rPr>
          <w:t xml:space="preserve">https://doi.org/10.1016/j.watres.2016.08.031</w:t>
        </w:r>
      </w:hyperlink>
      <w:r>
        <w:t xml:space="preserve">.</w:t>
      </w:r>
    </w:p>
    <w:bookmarkEnd w:id="175"/>
    <w:bookmarkStart w:id="177" w:name="ref-Diehl2007"/>
    <w:p>
      <w:pPr>
        <w:pStyle w:val="Bibliography"/>
      </w:pPr>
      <w:r>
        <w:t xml:space="preserve">Diehl, Timothy H. 2007. “A Modified Siphon Sampler for Shallow Water.” U.S. Department of the Interior, U.S. Geological Survey.</w:t>
      </w:r>
      <w:r>
        <w:t xml:space="preserve"> </w:t>
      </w:r>
      <w:hyperlink r:id="rId176">
        <w:r>
          <w:rPr>
            <w:rStyle w:val="Hyperlink"/>
          </w:rPr>
          <w:t xml:space="preserve">https://pubs.er.usgs.gov/publication/sir20075282</w:t>
        </w:r>
      </w:hyperlink>
      <w:r>
        <w:t xml:space="preserve">.</w:t>
      </w:r>
    </w:p>
    <w:bookmarkEnd w:id="177"/>
    <w:bookmarkStart w:id="179"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78">
        <w:r>
          <w:rPr>
            <w:rStyle w:val="Hyperlink"/>
          </w:rPr>
          <w:t xml:space="preserve">http://scholar.google.com/scholar?hl=en{\&amp;}btnG=Search{\&amp;}q=intitle:Running+Pure{\#}1</w:t>
        </w:r>
      </w:hyperlink>
      <w:r>
        <w:t xml:space="preserve">.</w:t>
      </w:r>
    </w:p>
    <w:bookmarkEnd w:id="179"/>
    <w:bookmarkStart w:id="181"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80">
        <w:r>
          <w:rPr>
            <w:rStyle w:val="Hyperlink"/>
          </w:rPr>
          <w:t xml:space="preserve">https://doi.org/10.1016/j.watres.2010.08.051</w:t>
        </w:r>
      </w:hyperlink>
      <w:r>
        <w:t xml:space="preserve">.</w:t>
      </w:r>
    </w:p>
    <w:bookmarkEnd w:id="181"/>
    <w:bookmarkStart w:id="182" w:name="ref-Epps1994"/>
    <w:p>
      <w:pPr>
        <w:pStyle w:val="Bibliography"/>
      </w:pPr>
      <w:r>
        <w:t xml:space="preserve">Epps, Deborah Norine. 1994. “Factors Affecting Disinfection By-Products from Surface Source Waters on Vancouver Island.” Master of Science, University of Victoria.</w:t>
      </w:r>
    </w:p>
    <w:bookmarkEnd w:id="182"/>
    <w:bookmarkStart w:id="184" w:name="ref-Fichot2012"/>
    <w:p>
      <w:pPr>
        <w:pStyle w:val="Bibliography"/>
      </w:pPr>
      <w:r>
        <w:t xml:space="preserve">Fichot, Cédric G., and Ronald Benner. 2012. “The spectral slope coefficient of chromophoric dissolved organic matter ( S 275-295 ) as a tracer of terrigenous dissolved organic carbon in river-influenced ocean margins.”</w:t>
      </w:r>
      <w:r>
        <w:t xml:space="preserve"> </w:t>
      </w:r>
      <w:r>
        <w:rPr>
          <w:i/>
        </w:rPr>
        <w:t xml:space="preserve">Limnology and Oceanography</w:t>
      </w:r>
      <w:r>
        <w:t xml:space="preserve"> </w:t>
      </w:r>
      <w:r>
        <w:t xml:space="preserve">57 (5): 1453–66.</w:t>
      </w:r>
      <w:r>
        <w:t xml:space="preserve"> </w:t>
      </w:r>
      <w:hyperlink r:id="rId183">
        <w:r>
          <w:rPr>
            <w:rStyle w:val="Hyperlink"/>
          </w:rPr>
          <w:t xml:space="preserve">https://doi.org/10.4319/lo.2012.57.5.1453</w:t>
        </w:r>
      </w:hyperlink>
      <w:r>
        <w:t xml:space="preserve">.</w:t>
      </w:r>
    </w:p>
    <w:bookmarkEnd w:id="184"/>
    <w:bookmarkStart w:id="186"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85">
        <w:r>
          <w:rPr>
            <w:rStyle w:val="Hyperlink"/>
          </w:rPr>
          <w:t xml:space="preserve">https://doi.org/10.3133/fs06700</w:t>
        </w:r>
      </w:hyperlink>
      <w:r>
        <w:t xml:space="preserve">.</w:t>
      </w:r>
    </w:p>
    <w:bookmarkEnd w:id="186"/>
    <w:bookmarkStart w:id="188"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87">
        <w:r>
          <w:rPr>
            <w:rStyle w:val="Hyperlink"/>
          </w:rPr>
          <w:t xml:space="preserve">https://doi.org/10.13031/2013.15662</w:t>
        </w:r>
      </w:hyperlink>
      <w:r>
        <w:t xml:space="preserve">.</w:t>
      </w:r>
    </w:p>
    <w:bookmarkEnd w:id="188"/>
    <w:bookmarkStart w:id="190" w:name="ref-HealthCanada2019"/>
    <w:p>
      <w:pPr>
        <w:pStyle w:val="Bibliography"/>
      </w:pPr>
      <w:r>
        <w:t xml:space="preserve">Health Canada. 2019a. “Guidance on Natural Organic Matter in Drinking Water.”</w:t>
      </w:r>
      <w:r>
        <w:t xml:space="preserve"> </w:t>
      </w:r>
      <w:hyperlink r:id="rId189">
        <w:r>
          <w:rPr>
            <w:rStyle w:val="Hyperlink"/>
          </w:rPr>
          <w:t xml:space="preserve">https://www.canada.ca/content/dam/hc-sc/documents/programs/consultation-organic-matter-drinking-water/NOM20190129-eng.pdf</w:t>
        </w:r>
      </w:hyperlink>
      <w:r>
        <w:t xml:space="preserve">.</w:t>
      </w:r>
    </w:p>
    <w:bookmarkEnd w:id="190"/>
    <w:bookmarkStart w:id="192"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191">
        <w:r>
          <w:rPr>
            <w:rStyle w:val="Hyperlink"/>
          </w:rPr>
          <w:t xml:space="preserve">https://www.canada.ca/content/dam/hc-sc/migration/hc-sc/ewh-semt/alt{\_}formats/pdf/pubs/water-eau/sum{\_}guide-res{\_}recom/summary-table-August-15-2019-eng.pdf</w:t>
        </w:r>
      </w:hyperlink>
      <w:r>
        <w:t xml:space="preserve">.</w:t>
      </w:r>
    </w:p>
    <w:bookmarkEnd w:id="192"/>
    <w:bookmarkStart w:id="194" w:name="ref-HealthCanada2006"/>
    <w:p>
      <w:pPr>
        <w:pStyle w:val="Bibliography"/>
      </w:pPr>
      <w:r>
        <w:t xml:space="preserve">HealthCanada. 2006. “Drinking Water Chlorination.”</w:t>
      </w:r>
      <w:r>
        <w:t xml:space="preserve"> </w:t>
      </w:r>
      <w:hyperlink r:id="rId193">
        <w:r>
          <w:rPr>
            <w:rStyle w:val="Hyperlink"/>
          </w:rPr>
          <w:t xml:space="preserve">https://www.canada.ca/en/health-canada/services/healthy-living/your-health/environment/drinking-water-chlorination.html</w:t>
        </w:r>
      </w:hyperlink>
      <w:r>
        <w:t xml:space="preserve">.</w:t>
      </w:r>
    </w:p>
    <w:bookmarkEnd w:id="194"/>
    <w:bookmarkStart w:id="196" w:name="ref-HealthLinkBC2018"/>
    <w:p>
      <w:pPr>
        <w:pStyle w:val="Bibliography"/>
      </w:pPr>
      <w:r>
        <w:t xml:space="preserve">HealthLinkBC. 2018. “Drinking Water Chlorination Facts.”</w:t>
      </w:r>
      <w:r>
        <w:t xml:space="preserve"> </w:t>
      </w:r>
      <w:hyperlink r:id="rId195">
        <w:r>
          <w:rPr>
            <w:rStyle w:val="Hyperlink"/>
          </w:rPr>
          <w:t xml:space="preserve">https://www.healthlinkbc.ca/healthlinkbc-files/drinking-water-chlorination</w:t>
        </w:r>
      </w:hyperlink>
      <w:r>
        <w:t xml:space="preserve">.</w:t>
      </w:r>
    </w:p>
    <w:bookmarkEnd w:id="196"/>
    <w:bookmarkStart w:id="198"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197">
        <w:r>
          <w:rPr>
            <w:rStyle w:val="Hyperlink"/>
          </w:rPr>
          <w:t xml:space="preserve">https://www.jstor.org/stable/40058211</w:t>
        </w:r>
      </w:hyperlink>
      <w:r>
        <w:t xml:space="preserve">.</w:t>
      </w:r>
    </w:p>
    <w:bookmarkEnd w:id="198"/>
    <w:bookmarkStart w:id="200"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99">
        <w:r>
          <w:rPr>
            <w:rStyle w:val="Hyperlink"/>
          </w:rPr>
          <w:t xml:space="preserve">https://doi.org/10.1016/j.chemosphere.2015.03.039</w:t>
        </w:r>
      </w:hyperlink>
      <w:r>
        <w:t xml:space="preserve">.</w:t>
      </w:r>
    </w:p>
    <w:bookmarkEnd w:id="200"/>
    <w:bookmarkStart w:id="202"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01">
        <w:r>
          <w:rPr>
            <w:rStyle w:val="Hyperlink"/>
          </w:rPr>
          <w:t xml:space="preserve">https://doi.org/10.1002/j.1551-8833.1995.tb06302.x</w:t>
        </w:r>
      </w:hyperlink>
      <w:r>
        <w:t xml:space="preserve">.</w:t>
      </w:r>
    </w:p>
    <w:bookmarkEnd w:id="202"/>
    <w:bookmarkStart w:id="204"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03">
        <w:r>
          <w:rPr>
            <w:rStyle w:val="Hyperlink"/>
          </w:rPr>
          <w:t xml:space="preserve">https://doi.org/doi:10.1046/j.1365-2427.1997.d01-539.x</w:t>
        </w:r>
      </w:hyperlink>
      <w:r>
        <w:t xml:space="preserve">.</w:t>
      </w:r>
    </w:p>
    <w:bookmarkEnd w:id="204"/>
    <w:bookmarkStart w:id="206"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05">
        <w:r>
          <w:rPr>
            <w:rStyle w:val="Hyperlink"/>
          </w:rPr>
          <w:t xml:space="preserve">https://www.jstor.org/stable/41311011</w:t>
        </w:r>
      </w:hyperlink>
      <w:r>
        <w:t xml:space="preserve">.</w:t>
      </w:r>
    </w:p>
    <w:bookmarkEnd w:id="206"/>
    <w:bookmarkStart w:id="208"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07">
        <w:r>
          <w:rPr>
            <w:rStyle w:val="Hyperlink"/>
          </w:rPr>
          <w:t xml:space="preserve">https://doi.org/10.1002/j.1551-8833.2002.tb10250.x</w:t>
        </w:r>
      </w:hyperlink>
      <w:r>
        <w:t xml:space="preserve">.</w:t>
      </w:r>
    </w:p>
    <w:bookmarkEnd w:id="208"/>
    <w:bookmarkStart w:id="210"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09">
        <w:r>
          <w:rPr>
            <w:rStyle w:val="Hyperlink"/>
          </w:rPr>
          <w:t xml:space="preserve">https://archive.org/details/metaltransportre00lazeuoft/mode/2up</w:t>
        </w:r>
      </w:hyperlink>
      <w:r>
        <w:t xml:space="preserve">.</w:t>
      </w:r>
    </w:p>
    <w:bookmarkEnd w:id="210"/>
    <w:bookmarkStart w:id="212"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11">
        <w:r>
          <w:rPr>
            <w:rStyle w:val="Hyperlink"/>
          </w:rPr>
          <w:t xml:space="preserve">https://doi.org/10.1016/j.jhazmat.2014.02.009</w:t>
        </w:r>
      </w:hyperlink>
      <w:r>
        <w:t xml:space="preserve">.</w:t>
      </w:r>
    </w:p>
    <w:bookmarkEnd w:id="212"/>
    <w:bookmarkStart w:id="214"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13">
        <w:r>
          <w:rPr>
            <w:rStyle w:val="Hyperlink"/>
          </w:rPr>
          <w:t xml:space="preserve">https://doi.org/10.1002/rra.1504</w:t>
        </w:r>
      </w:hyperlink>
      <w:r>
        <w:t xml:space="preserve">.</w:t>
      </w:r>
    </w:p>
    <w:bookmarkEnd w:id="214"/>
    <w:bookmarkStart w:id="216"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15">
        <w:r>
          <w:rPr>
            <w:rStyle w:val="Hyperlink"/>
          </w:rPr>
          <w:t xml:space="preserve">https://doi.org/10.1016/j.chemosphere.2011.01.018</w:t>
        </w:r>
      </w:hyperlink>
      <w:r>
        <w:t xml:space="preserve">.</w:t>
      </w:r>
    </w:p>
    <w:bookmarkEnd w:id="216"/>
    <w:bookmarkStart w:id="218"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17">
        <w:r>
          <w:rPr>
            <w:rStyle w:val="Hyperlink"/>
          </w:rPr>
          <w:t xml:space="preserve">https://doi.org/10.1016/j.cis.2010.06.007</w:t>
        </w:r>
      </w:hyperlink>
      <w:r>
        <w:t xml:space="preserve">.</w:t>
      </w:r>
    </w:p>
    <w:bookmarkEnd w:id="218"/>
    <w:bookmarkStart w:id="220"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19">
        <w:r>
          <w:rPr>
            <w:rStyle w:val="Hyperlink"/>
          </w:rPr>
          <w:t xml:space="preserve">https://www.jstor.org/stable/1937326</w:t>
        </w:r>
      </w:hyperlink>
      <w:r>
        <w:t xml:space="preserve">.</w:t>
      </w:r>
    </w:p>
    <w:bookmarkEnd w:id="220"/>
    <w:bookmarkStart w:id="221"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221"/>
    <w:bookmarkStart w:id="223"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22">
        <w:r>
          <w:rPr>
            <w:rStyle w:val="Hyperlink"/>
          </w:rPr>
          <w:t xml:space="preserve">https://doi.org/10.1007/s10533-015-0103-6</w:t>
        </w:r>
      </w:hyperlink>
      <w:r>
        <w:t xml:space="preserve">.</w:t>
      </w:r>
    </w:p>
    <w:bookmarkEnd w:id="223"/>
    <w:bookmarkStart w:id="225"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24">
        <w:r>
          <w:rPr>
            <w:rStyle w:val="Hyperlink"/>
          </w:rPr>
          <w:t xml:space="preserve">https://doi.org/10.5194/bg-10-2315-2013</w:t>
        </w:r>
      </w:hyperlink>
      <w:r>
        <w:t xml:space="preserve">.</w:t>
      </w:r>
    </w:p>
    <w:bookmarkEnd w:id="225"/>
    <w:bookmarkStart w:id="227"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26">
        <w:r>
          <w:rPr>
            <w:rStyle w:val="Hyperlink"/>
          </w:rPr>
          <w:t xml:space="preserve">http://www.jstor.com/stable/41295152</w:t>
        </w:r>
      </w:hyperlink>
      <w:r>
        <w:t xml:space="preserve">.</w:t>
      </w:r>
    </w:p>
    <w:bookmarkEnd w:id="227"/>
    <w:bookmarkStart w:id="229"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28">
        <w:r>
          <w:rPr>
            <w:rStyle w:val="Hyperlink"/>
          </w:rPr>
          <w:t xml:space="preserve">https://doi.org/10.1007/s11270-013-1651-9</w:t>
        </w:r>
      </w:hyperlink>
      <w:r>
        <w:t xml:space="preserve">.</w:t>
      </w:r>
    </w:p>
    <w:bookmarkEnd w:id="229"/>
    <w:bookmarkStart w:id="231"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30">
        <w:r>
          <w:rPr>
            <w:rStyle w:val="Hyperlink"/>
          </w:rPr>
          <w:t xml:space="preserve">https://doi.org/10.1016/S0003-2670(96)00412-6</w:t>
        </w:r>
      </w:hyperlink>
      <w:r>
        <w:t xml:space="preserve">.</w:t>
      </w:r>
    </w:p>
    <w:bookmarkEnd w:id="231"/>
    <w:bookmarkStart w:id="233"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32">
        <w:r>
          <w:rPr>
            <w:rStyle w:val="Hyperlink"/>
          </w:rPr>
          <w:t xml:space="preserve">https://www.for.gov.bc.ca/hfd/pubs/docs/lmh/Lmh66/LMH66{\_}volume2of2.pdf</w:t>
        </w:r>
      </w:hyperlink>
      <w:r>
        <w:t xml:space="preserve">.</w:t>
      </w:r>
    </w:p>
    <w:bookmarkEnd w:id="233"/>
    <w:bookmarkStart w:id="234"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34"/>
    <w:bookmarkStart w:id="23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35">
        <w:r>
          <w:rPr>
            <w:rStyle w:val="Hyperlink"/>
          </w:rPr>
          <w:t xml:space="preserve">https://doi.org/10.1007/sl0533-010-9416-7</w:t>
        </w:r>
      </w:hyperlink>
      <w:r>
        <w:t xml:space="preserve">.</w:t>
      </w:r>
    </w:p>
    <w:bookmarkEnd w:id="236"/>
    <w:bookmarkStart w:id="23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37">
        <w:r>
          <w:rPr>
            <w:rStyle w:val="Hyperlink"/>
          </w:rPr>
          <w:t xml:space="preserve">https://www.jstor.org/stable/24702986</w:t>
        </w:r>
      </w:hyperlink>
      <w:r>
        <w:t xml:space="preserve">.</w:t>
      </w:r>
    </w:p>
    <w:bookmarkEnd w:id="238"/>
    <w:bookmarkStart w:id="240"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239">
        <w:r>
          <w:rPr>
            <w:rStyle w:val="Hyperlink"/>
          </w:rPr>
          <w:t xml:space="preserve">https://doi.org/10.1016/j.mrrev.2007.09.001</w:t>
        </w:r>
      </w:hyperlink>
      <w:r>
        <w:t xml:space="preserve">.</w:t>
      </w:r>
    </w:p>
    <w:bookmarkEnd w:id="240"/>
    <w:bookmarkStart w:id="242"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41">
        <w:r>
          <w:rPr>
            <w:rStyle w:val="Hyperlink"/>
          </w:rPr>
          <w:t xml:space="preserve">https://doi.org/10.1111/j.1365-2427.2011.02613.x</w:t>
        </w:r>
      </w:hyperlink>
      <w:r>
        <w:t xml:space="preserve">.</w:t>
      </w:r>
    </w:p>
    <w:bookmarkEnd w:id="242"/>
    <w:bookmarkStart w:id="243"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43"/>
    <w:bookmarkStart w:id="244"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44"/>
    <w:bookmarkStart w:id="245"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45"/>
    <w:bookmarkStart w:id="247"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46">
        <w:r>
          <w:rPr>
            <w:rStyle w:val="Hyperlink"/>
          </w:rPr>
          <w:t xml:space="preserve">https://doi.org/10.1007/s10533-008-9207-6</w:t>
        </w:r>
      </w:hyperlink>
      <w:r>
        <w:t xml:space="preserve">.</w:t>
      </w:r>
    </w:p>
    <w:bookmarkEnd w:id="247"/>
    <w:bookmarkStart w:id="249"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48">
        <w:r>
          <w:rPr>
            <w:rStyle w:val="Hyperlink"/>
          </w:rPr>
          <w:t xml:space="preserve">https://doi.org/10.1021/es030360x</w:t>
        </w:r>
      </w:hyperlink>
      <w:r>
        <w:t xml:space="preserve">.</w:t>
      </w:r>
    </w:p>
    <w:bookmarkEnd w:id="249"/>
    <w:bookmarkStart w:id="251"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50">
        <w:r>
          <w:rPr>
            <w:rStyle w:val="Hyperlink"/>
          </w:rPr>
          <w:t xml:space="preserve">https://doi.org/10.1007/s11356-015-4078-6</w:t>
        </w:r>
      </w:hyperlink>
      <w:r>
        <w:t xml:space="preserve">.</w:t>
      </w:r>
    </w:p>
    <w:bookmarkEnd w:id="251"/>
    <w:bookmarkStart w:id="253"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52">
        <w:r>
          <w:rPr>
            <w:rStyle w:val="Hyperlink"/>
          </w:rPr>
          <w:t xml:space="preserve">https://doi.org/10.1029/2018GL080005</w:t>
        </w:r>
      </w:hyperlink>
      <w:r>
        <w:t xml:space="preserve">.</w:t>
      </w:r>
    </w:p>
    <w:bookmarkEnd w:id="253"/>
    <w:bookmarkEnd w:id="254"/>
    <w:sectPr w:rsidR="007B57E6" w:rsidRPr="001469F7" w:rsidSect="002F162A">
      <w:footerReference w:type="default" r:id="rId10"/>
      <w:foot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162A" w:rsidRDefault="002F162A">
    <w:pPr>
      <w:pStyle w:val="Footer"/>
      <w:jc w:val="right"/>
    </w:pPr>
    <w:r>
      <w:fldChar w:fldCharType="begin"/>
    </w:r>
    <w:r>
      <w:instrText xml:space="preserve"> PAGE   \* MERGEFORMAT </w:instrText>
    </w:r>
    <w:r>
      <w:fldChar w:fldCharType="separate"/>
    </w:r>
    <w:r>
      <w:rPr>
        <w:noProof/>
      </w:rPr>
      <w:t>ii</w:t>
    </w:r>
    <w:r>
      <w:rPr>
        <w:noProof/>
      </w:rPr>
      <w:fldChar w:fldCharType="end"/>
    </w:r>
  </w:p>
  <w:p w:rsidR="002F162A" w:rsidRDefault="002F162A" w:rsidP="002F162A">
    <w:pPr>
      <w:pStyle w:val="Footer"/>
    </w:pPr>
  </w:p>
  <w:p w:rsidR="002F162A" w:rsidRDefault="002F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844152"/>
      <w:docPartObj>
        <w:docPartGallery w:val="Page Numbers (Bottom of Page)"/>
        <w:docPartUnique/>
      </w:docPartObj>
    </w:sdtPr>
    <w:sdtEndPr>
      <w:rPr>
        <w:noProof/>
      </w:rPr>
    </w:sdtEndPr>
    <w:sdtContent>
      <w:p w:rsidR="002F162A" w:rsidRDefault="002F16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F162A" w:rsidRDefault="002F162A">
    <w:pPr>
      <w:pStyle w:val="Footer"/>
    </w:pPr>
  </w:p>
  <w:p w:rsidR="002F162A" w:rsidRDefault="002F162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Any and all geospatial data provided by the CRD was used with permission from the Capital Regional District.</w:t>
      </w:r>
    </w:p>
  </w:footnote>
  <w:footnote w:id="69">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 w:id="90">
    <w:p>
      <w:pPr>
        <w:pStyle w:val="FootnoteText"/>
      </w:pPr>
      <w:r>
        <w:rPr>
          <w:rStyle w:val="FootnoteReference"/>
        </w:rPr>
        <w:footnoteRef/>
      </w:r>
      <w:r>
        <w:t xml:space="preserve"> </w:t>
      </w:r>
      <w:r>
        <w:t xml:space="preserve">Following major event 17 (Jan 29-31), changes to the stream-bed morphology were evident at LeechHead (site 3) in the form of gravel and cobble deposition, there was evidence of substantial coarse woody debris transport at ChrisCrk (site 2), and destruction to hydrologic monitoring equipment at the Leech Tunnel.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B6CF0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E22B7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9CC6EF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FE92D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04AB8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282B61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46237C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E146E1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14E8D4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C6E4E3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398154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AE401"/>
    <w:multiLevelType w:val="multilevel"/>
    <w:tmpl w:val="F1B8A5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4C4CF5"/>
    <w:multiLevelType w:val="multilevel"/>
    <w:tmpl w:val="AB5A3BC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5"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315DCA"/>
    <w:multiLevelType w:val="multilevel"/>
    <w:tmpl w:val="94FE3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19"/>
  </w:num>
  <w:num w:numId="3">
    <w:abstractNumId w:val="15"/>
  </w:num>
  <w:num w:numId="4">
    <w:abstractNumId w:val="21"/>
  </w:num>
  <w:num w:numId="5">
    <w:abstractNumId w:val="22"/>
  </w:num>
  <w:num w:numId="6">
    <w:abstractNumId w:val="17"/>
  </w:num>
  <w:num w:numId="7">
    <w:abstractNumId w:val="24"/>
  </w:num>
  <w:num w:numId="8">
    <w:abstractNumId w:val="23"/>
  </w:num>
  <w:num w:numId="9">
    <w:abstractNumId w:val="14"/>
  </w:num>
  <w:num w:numId="10">
    <w:abstractNumId w:val="12"/>
  </w:num>
  <w:num w:numId="11">
    <w:abstractNumId w:val="4"/>
  </w:num>
  <w:num w:numId="12">
    <w:abstractNumId w:val="20"/>
  </w:num>
  <w:num w:numId="13">
    <w:abstractNumId w:val="13"/>
  </w:num>
  <w:num w:numId="14">
    <w:abstractNumId w:val="25"/>
  </w:num>
  <w:num w:numId="15">
    <w:abstractNumId w:val="11"/>
  </w:num>
  <w:num w:numId="16">
    <w:abstractNumId w:val="18"/>
  </w:num>
  <w:num w:numId="17">
    <w:abstractNumId w:val="0"/>
  </w:num>
  <w:num w:numId="18">
    <w:abstractNumId w:val="0"/>
  </w:num>
  <w:num w:numId="19">
    <w:abstractNumId w:val="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3"/>
  </w:num>
  <w:num w:numId="30">
    <w:abstractNumId w:val="2"/>
  </w:num>
  <w:num w:numId="31">
    <w:abstractNumId w:val="1"/>
  </w:num>
  <w:num w:numId="32">
    <w:abstractNumId w:val="18"/>
  </w:num>
  <w:num w:numId="33">
    <w:abstractNumId w:val="0"/>
  </w:num>
  <w:num w:numId="34">
    <w:abstractNumId w:val="0"/>
  </w:num>
  <w:num w:numId="35">
    <w:abstractNumId w:val="0"/>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Iskoola Pota" w:eastAsia="Cambria" w:hAnsi="Iskoola Pota" w:cs="Iskoola Pota"/>
        <w:sz w:val="24"/>
        <w:szCs w:val="24"/>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E24359"/>
    <w:pPr>
      <w:keepNext/>
      <w:numPr>
        <w:ilvl w:val="2"/>
        <w:numId w:val="8"/>
      </w:numPr>
      <w:spacing w:before="240"/>
      <w:outlineLvl w:val="2"/>
    </w:pPr>
    <w:rPr>
      <w:rFonts w:eastAsia="SimSun"/>
      <w:b/>
      <w:bCs/>
    </w:rPr>
  </w:style>
  <w:style w:type="paragraph" w:styleId="Heading4">
    <w:name w:val="heading 4"/>
    <w:basedOn w:val="Normal"/>
    <w:next w:val="Normal"/>
    <w:link w:val="Heading4Char"/>
    <w:uiPriority w:val="1"/>
    <w:qFormat/>
    <w:rsid w:val="00E24359"/>
    <w:pPr>
      <w:keepNext/>
      <w:numPr>
        <w:ilvl w:val="3"/>
        <w:numId w:val="8"/>
      </w:numPr>
      <w:spacing w:before="240"/>
      <w:outlineLvl w:val="3"/>
    </w:pPr>
    <w:rPr>
      <w:rFonts w:eastAsia="SimSun"/>
      <w:b/>
      <w:bCs/>
      <w:iCs/>
    </w:rPr>
  </w:style>
  <w:style w:type="paragraph" w:styleId="Heading5">
    <w:name w:val="heading 5"/>
    <w:basedOn w:val="Normal"/>
    <w:next w:val="Normal"/>
    <w:link w:val="Heading5Char"/>
    <w:uiPriority w:val="1"/>
    <w:qFormat/>
    <w:rsid w:val="00E24359"/>
    <w:pPr>
      <w:keepNext/>
      <w:numPr>
        <w:ilvl w:val="4"/>
        <w:numId w:val="8"/>
      </w:numPr>
      <w:spacing w:before="240"/>
      <w:outlineLvl w:val="4"/>
    </w:pPr>
    <w:rPr>
      <w:rFonts w:eastAsia="Times New Roman"/>
      <w:b/>
      <w:bCs/>
      <w:iCs/>
      <w:szCs w:val="26"/>
    </w:rPr>
  </w:style>
  <w:style w:type="paragraph" w:styleId="Heading6">
    <w:name w:val="heading 6"/>
    <w:basedOn w:val="Normal"/>
    <w:next w:val="Normal"/>
    <w:link w:val="Heading6Char"/>
    <w:uiPriority w:val="1"/>
    <w:qFormat/>
    <w:rsid w:val="00E24359"/>
    <w:pPr>
      <w:numPr>
        <w:ilvl w:val="5"/>
        <w:numId w:val="8"/>
      </w:numPr>
      <w:spacing w:before="240"/>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E24359"/>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E24359"/>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E24359"/>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E24359"/>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customStyle="1" w:styleId="simple">
    <w:name w:val="simple"/>
    <w:basedOn w:val="TableNormal"/>
    <w:uiPriority w:val="99"/>
    <w:rsid w:val="009148C0"/>
    <w:rPr>
      <w:rFonts w:asciiTheme="minorHAnsi" w:hAnsiTheme="minorHAnsi"/>
      <w:sz w:val="22"/>
    </w:rPr>
    <w:tblPr/>
  </w:style>
  <w:style w:type="character" w:styleId="FootnoteReference">
    <w:name w:val="footnote reference"/>
    <w:basedOn w:val="DefaultParagraphFont"/>
    <w:unhideWhenUsed/>
    <w:rsid w:val="002F162A"/>
    <w:rPr>
      <w:vertAlign w:val="superscript"/>
    </w:rPr>
  </w:style>
  <w:style w:type="paragraph" w:styleId="FootnoteText">
    <w:name w:val="footnote text"/>
    <w:basedOn w:val="Footer"/>
    <w:link w:val="FootnoteTextChar"/>
    <w:unhideWhenUsed/>
    <w:rsid w:val="002F162A"/>
    <w:pPr>
      <w:spacing w:line="240" w:lineRule="auto"/>
    </w:pPr>
    <w:rPr>
      <w:szCs w:val="20"/>
    </w:rPr>
  </w:style>
  <w:style w:type="character" w:customStyle="1" w:styleId="FootnoteTextChar">
    <w:name w:val="Footnote Text Char"/>
    <w:basedOn w:val="DefaultParagraphFont"/>
    <w:link w:val="FootnoteText"/>
    <w:rsid w:val="002F162A"/>
    <w:rPr>
      <w:rFonts w:ascii="Iskoola Pota" w:hAnsi="Iskoola Pota"/>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83" Target="media/rId83.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95" Target="media/rId9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133" Target="media/rId133.png" /><Relationship Type="http://schemas.openxmlformats.org/officeDocument/2006/relationships/image" Id="rId132" Target="media/rId132.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120" Target="media/rId120.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98" Target="media/rId98.png" /><Relationship Type="http://schemas.openxmlformats.org/officeDocument/2006/relationships/image" Id="rId130" Target="media/rId130.png" /><Relationship Type="http://schemas.openxmlformats.org/officeDocument/2006/relationships/image" Id="rId129" Target="media/rId129.png" /><Relationship Type="http://schemas.openxmlformats.org/officeDocument/2006/relationships/image" Id="rId99" Target="media/rId99.png" /><Relationship Type="http://schemas.openxmlformats.org/officeDocument/2006/relationships/image" Id="rId141" Target="media/rId141.png" /><Relationship Type="http://schemas.openxmlformats.org/officeDocument/2006/relationships/image" Id="rId127" Target="media/rId127.png" /><Relationship Type="http://schemas.openxmlformats.org/officeDocument/2006/relationships/hyperlink" Id="rId178" Target="http://scholar.google.com/scholar?hl=en%7B\&amp;%7DbtnG=Search%7B\&amp;%7Dq=intitle:Running+Pure%7B\#%7D1" TargetMode="External" /><Relationship Type="http://schemas.openxmlformats.org/officeDocument/2006/relationships/hyperlink" Id="rId226" Target="http://www.jstor.com/stable/41295152" TargetMode="External" /><Relationship Type="http://schemas.openxmlformats.org/officeDocument/2006/relationships/hyperlink" Id="rId152" Target="http://www.standardmethods.org/" TargetMode="External" /><Relationship Type="http://schemas.openxmlformats.org/officeDocument/2006/relationships/hyperlink" Id="rId209" Target="https://archive.org/details/metaltransportre00lazeuoft/mode/2up" TargetMode="External" /><Relationship Type="http://schemas.openxmlformats.org/officeDocument/2006/relationships/hyperlink" Id="rId144" Target="https://doi.org/10.1002/j.1551-8833.1995.tb06299.x" TargetMode="External" /><Relationship Type="http://schemas.openxmlformats.org/officeDocument/2006/relationships/hyperlink" Id="rId201" Target="https://doi.org/10.1002/j.1551-8833.1995.tb06302.x" TargetMode="External" /><Relationship Type="http://schemas.openxmlformats.org/officeDocument/2006/relationships/hyperlink" Id="rId207" Target="https://doi.org/10.1002/j.1551-8833.2002.tb10250.x" TargetMode="External" /><Relationship Type="http://schemas.openxmlformats.org/officeDocument/2006/relationships/hyperlink" Id="rId213" Target="https://doi.org/10.1002/rra.1504" TargetMode="External" /><Relationship Type="http://schemas.openxmlformats.org/officeDocument/2006/relationships/hyperlink" Id="rId246" Target="https://doi.org/10.1007/s10533-008-9207-6" TargetMode="External" /><Relationship Type="http://schemas.openxmlformats.org/officeDocument/2006/relationships/hyperlink" Id="rId222" Target="https://doi.org/10.1007/s10533-015-0103-6" TargetMode="External" /><Relationship Type="http://schemas.openxmlformats.org/officeDocument/2006/relationships/hyperlink" Id="rId228" Target="https://doi.org/10.1007/s11270-013-1651-9" TargetMode="External" /><Relationship Type="http://schemas.openxmlformats.org/officeDocument/2006/relationships/hyperlink" Id="rId250" Target="https://doi.org/10.1007/s11356-015-4078-6" TargetMode="External" /><Relationship Type="http://schemas.openxmlformats.org/officeDocument/2006/relationships/hyperlink" Id="rId156" Target="https://doi.org/10.1007/s11749-016-0481-7" TargetMode="External" /><Relationship Type="http://schemas.openxmlformats.org/officeDocument/2006/relationships/hyperlink" Id="rId235" Target="https://doi.org/10.1007/sl0533-010-9416-7" TargetMode="External" /><Relationship Type="http://schemas.openxmlformats.org/officeDocument/2006/relationships/hyperlink" Id="rId172" Target="https://doi.org/10.1016/B978-0-12-382092-1.00019-1" TargetMode="External" /><Relationship Type="http://schemas.openxmlformats.org/officeDocument/2006/relationships/hyperlink" Id="rId230" Target="https://doi.org/10.1016/S0003-2670(96)00412-6" TargetMode="External" /><Relationship Type="http://schemas.openxmlformats.org/officeDocument/2006/relationships/hyperlink" Id="rId215" Target="https://doi.org/10.1016/j.chemosphere.2011.01.018" TargetMode="External" /><Relationship Type="http://schemas.openxmlformats.org/officeDocument/2006/relationships/hyperlink" Id="rId199" Target="https://doi.org/10.1016/j.chemosphere.2015.03.039" TargetMode="External" /><Relationship Type="http://schemas.openxmlformats.org/officeDocument/2006/relationships/hyperlink" Id="rId217" Target="https://doi.org/10.1016/j.cis.2010.06.007" TargetMode="External" /><Relationship Type="http://schemas.openxmlformats.org/officeDocument/2006/relationships/hyperlink" Id="rId211" Target="https://doi.org/10.1016/j.jhazmat.2014.02.009" TargetMode="External" /><Relationship Type="http://schemas.openxmlformats.org/officeDocument/2006/relationships/hyperlink" Id="rId148" Target="https://doi.org/10.1016/j.jhydrol.2014.05.060" TargetMode="External" /><Relationship Type="http://schemas.openxmlformats.org/officeDocument/2006/relationships/hyperlink" Id="rId239" Target="https://doi.org/10.1016/j.mrrev.2007.09.001" TargetMode="External" /><Relationship Type="http://schemas.openxmlformats.org/officeDocument/2006/relationships/hyperlink" Id="rId180" Target="https://doi.org/10.1016/j.watres.2010.08.051" TargetMode="External" /><Relationship Type="http://schemas.openxmlformats.org/officeDocument/2006/relationships/hyperlink" Id="rId174" Target="https://doi.org/10.1016/j.watres.2016.08.031" TargetMode="External" /><Relationship Type="http://schemas.openxmlformats.org/officeDocument/2006/relationships/hyperlink" Id="rId248" Target="https://doi.org/10.1021/es030360x" TargetMode="External" /><Relationship Type="http://schemas.openxmlformats.org/officeDocument/2006/relationships/hyperlink" Id="rId146" Target="https://doi.org/10.1021/es103992s" TargetMode="External" /><Relationship Type="http://schemas.openxmlformats.org/officeDocument/2006/relationships/hyperlink" Id="rId150" Target="https://doi.org/10.1029/2007JG000674" TargetMode="External" /><Relationship Type="http://schemas.openxmlformats.org/officeDocument/2006/relationships/hyperlink" Id="rId252" Target="https://doi.org/10.1029/2018GL080005" TargetMode="External" /><Relationship Type="http://schemas.openxmlformats.org/officeDocument/2006/relationships/hyperlink" Id="rId142" Target="https://doi.org/10.1111/ele.12897" TargetMode="External" /><Relationship Type="http://schemas.openxmlformats.org/officeDocument/2006/relationships/hyperlink" Id="rId241" Target="https://doi.org/10.1111/j.1365-2427.2011.02613.x" TargetMode="External" /><Relationship Type="http://schemas.openxmlformats.org/officeDocument/2006/relationships/hyperlink" Id="rId170" Target="https://doi.org/10.1139/cjfas-2014-0400" TargetMode="External" /><Relationship Type="http://schemas.openxmlformats.org/officeDocument/2006/relationships/hyperlink" Id="rId158" Target="https://doi.org/10.1201/9780367816377-11" TargetMode="External" /><Relationship Type="http://schemas.openxmlformats.org/officeDocument/2006/relationships/hyperlink" Id="rId187" Target="https://doi.org/10.13031/2013.15662" TargetMode="External" /><Relationship Type="http://schemas.openxmlformats.org/officeDocument/2006/relationships/hyperlink" Id="rId154" Target="https://doi.org/10.2105/SMWW.2882.113" TargetMode="External" /><Relationship Type="http://schemas.openxmlformats.org/officeDocument/2006/relationships/hyperlink" Id="rId163" Target="https://doi.org/10.2166/aqua.2008.064" TargetMode="External" /><Relationship Type="http://schemas.openxmlformats.org/officeDocument/2006/relationships/hyperlink" Id="rId185" Target="https://doi.org/10.3133/fs06700" TargetMode="External" /><Relationship Type="http://schemas.openxmlformats.org/officeDocument/2006/relationships/hyperlink" Id="rId183" Target="https://doi.org/10.4319/lo.2012.57.5.1453" TargetMode="External" /><Relationship Type="http://schemas.openxmlformats.org/officeDocument/2006/relationships/hyperlink" Id="rId224" Target="https://doi.org/10.5194/bg-10-2315-2013" TargetMode="External" /><Relationship Type="http://schemas.openxmlformats.org/officeDocument/2006/relationships/hyperlink" Id="rId167" Target="https://doi.org/IWSS-297445977-5079" TargetMode="External" /><Relationship Type="http://schemas.openxmlformats.org/officeDocument/2006/relationships/hyperlink" Id="rId203" Target="https://doi.org/doi:10.1046/j.1365-2427.1997.d01-539.x" TargetMode="External" /><Relationship Type="http://schemas.openxmlformats.org/officeDocument/2006/relationships/hyperlink" Id="rId176" Target="https://pubs.er.usgs.gov/publication/sir20075282" TargetMode="External" /><Relationship Type="http://schemas.openxmlformats.org/officeDocument/2006/relationships/hyperlink" Id="rId189" Target="https://www.canada.ca/content/dam/hc-sc/documents/programs/consultation-organic-matter-drinking-water/NOM20190129-eng.pdf" TargetMode="External" /><Relationship Type="http://schemas.openxmlformats.org/officeDocument/2006/relationships/hyperlink" Id="rId191" Target="https://www.canada.ca/content/dam/hc-sc/migration/hc-sc/ewh-semt/alt%7B\_%7Dformats/pdf/pubs/water-eau/sum%7B\_%7Dguide-res%7B\_%7Drecom/summary-table-August-15-2019-eng.pdf" TargetMode="External" /><Relationship Type="http://schemas.openxmlformats.org/officeDocument/2006/relationships/hyperlink" Id="rId193" Target="https://www.canada.ca/en/health-canada/services/healthy-living/your-health/environment/drinking-water-chlorination.html" TargetMode="External" /><Relationship Type="http://schemas.openxmlformats.org/officeDocument/2006/relationships/hyperlink" Id="rId165" Target="https://www.crd.bc.ca/project/past-capital-projects-and-initiatives/water-supply-plan" TargetMode="External" /><Relationship Type="http://schemas.openxmlformats.org/officeDocument/2006/relationships/hyperlink" Id="rId232"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195" Target="https://www.healthlinkbc.ca/healthlinkbc-files/drinking-water-chlorination" TargetMode="External" /><Relationship Type="http://schemas.openxmlformats.org/officeDocument/2006/relationships/hyperlink" Id="rId219" Target="https://www.jstor.org/stable/1937326" TargetMode="External" /><Relationship Type="http://schemas.openxmlformats.org/officeDocument/2006/relationships/hyperlink" Id="rId237" Target="https://www.jstor.org/stable/24702986" TargetMode="External" /><Relationship Type="http://schemas.openxmlformats.org/officeDocument/2006/relationships/hyperlink" Id="rId197" Target="https://www.jstor.org/stable/40058211" TargetMode="External" /><Relationship Type="http://schemas.openxmlformats.org/officeDocument/2006/relationships/hyperlink" Id="rId205" Target="https://www.jstor.org/stable/41311011" TargetMode="External" /><Relationship Type="http://schemas.openxmlformats.org/officeDocument/2006/relationships/hyperlink" Id="rId160"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178" Target="http://scholar.google.com/scholar?hl=en%7B\&amp;%7DbtnG=Search%7B\&amp;%7Dq=intitle:Running+Pure%7B\#%7D1" TargetMode="External" /><Relationship Type="http://schemas.openxmlformats.org/officeDocument/2006/relationships/hyperlink" Id="rId226" Target="http://www.jstor.com/stable/41295152" TargetMode="External" /><Relationship Type="http://schemas.openxmlformats.org/officeDocument/2006/relationships/hyperlink" Id="rId152" Target="http://www.standardmethods.org/" TargetMode="External" /><Relationship Type="http://schemas.openxmlformats.org/officeDocument/2006/relationships/hyperlink" Id="rId209" Target="https://archive.org/details/metaltransportre00lazeuoft/mode/2up" TargetMode="External" /><Relationship Type="http://schemas.openxmlformats.org/officeDocument/2006/relationships/hyperlink" Id="rId144" Target="https://doi.org/10.1002/j.1551-8833.1995.tb06299.x" TargetMode="External" /><Relationship Type="http://schemas.openxmlformats.org/officeDocument/2006/relationships/hyperlink" Id="rId201" Target="https://doi.org/10.1002/j.1551-8833.1995.tb06302.x" TargetMode="External" /><Relationship Type="http://schemas.openxmlformats.org/officeDocument/2006/relationships/hyperlink" Id="rId207" Target="https://doi.org/10.1002/j.1551-8833.2002.tb10250.x" TargetMode="External" /><Relationship Type="http://schemas.openxmlformats.org/officeDocument/2006/relationships/hyperlink" Id="rId213" Target="https://doi.org/10.1002/rra.1504" TargetMode="External" /><Relationship Type="http://schemas.openxmlformats.org/officeDocument/2006/relationships/hyperlink" Id="rId246" Target="https://doi.org/10.1007/s10533-008-9207-6" TargetMode="External" /><Relationship Type="http://schemas.openxmlformats.org/officeDocument/2006/relationships/hyperlink" Id="rId222" Target="https://doi.org/10.1007/s10533-015-0103-6" TargetMode="External" /><Relationship Type="http://schemas.openxmlformats.org/officeDocument/2006/relationships/hyperlink" Id="rId228" Target="https://doi.org/10.1007/s11270-013-1651-9" TargetMode="External" /><Relationship Type="http://schemas.openxmlformats.org/officeDocument/2006/relationships/hyperlink" Id="rId250" Target="https://doi.org/10.1007/s11356-015-4078-6" TargetMode="External" /><Relationship Type="http://schemas.openxmlformats.org/officeDocument/2006/relationships/hyperlink" Id="rId156" Target="https://doi.org/10.1007/s11749-016-0481-7" TargetMode="External" /><Relationship Type="http://schemas.openxmlformats.org/officeDocument/2006/relationships/hyperlink" Id="rId235" Target="https://doi.org/10.1007/sl0533-010-9416-7" TargetMode="External" /><Relationship Type="http://schemas.openxmlformats.org/officeDocument/2006/relationships/hyperlink" Id="rId172" Target="https://doi.org/10.1016/B978-0-12-382092-1.00019-1" TargetMode="External" /><Relationship Type="http://schemas.openxmlformats.org/officeDocument/2006/relationships/hyperlink" Id="rId230" Target="https://doi.org/10.1016/S0003-2670(96)00412-6" TargetMode="External" /><Relationship Type="http://schemas.openxmlformats.org/officeDocument/2006/relationships/hyperlink" Id="rId215" Target="https://doi.org/10.1016/j.chemosphere.2011.01.018" TargetMode="External" /><Relationship Type="http://schemas.openxmlformats.org/officeDocument/2006/relationships/hyperlink" Id="rId199" Target="https://doi.org/10.1016/j.chemosphere.2015.03.039" TargetMode="External" /><Relationship Type="http://schemas.openxmlformats.org/officeDocument/2006/relationships/hyperlink" Id="rId217" Target="https://doi.org/10.1016/j.cis.2010.06.007" TargetMode="External" /><Relationship Type="http://schemas.openxmlformats.org/officeDocument/2006/relationships/hyperlink" Id="rId211" Target="https://doi.org/10.1016/j.jhazmat.2014.02.009" TargetMode="External" /><Relationship Type="http://schemas.openxmlformats.org/officeDocument/2006/relationships/hyperlink" Id="rId148" Target="https://doi.org/10.1016/j.jhydrol.2014.05.060" TargetMode="External" /><Relationship Type="http://schemas.openxmlformats.org/officeDocument/2006/relationships/hyperlink" Id="rId239" Target="https://doi.org/10.1016/j.mrrev.2007.09.001" TargetMode="External" /><Relationship Type="http://schemas.openxmlformats.org/officeDocument/2006/relationships/hyperlink" Id="rId180" Target="https://doi.org/10.1016/j.watres.2010.08.051" TargetMode="External" /><Relationship Type="http://schemas.openxmlformats.org/officeDocument/2006/relationships/hyperlink" Id="rId174" Target="https://doi.org/10.1016/j.watres.2016.08.031" TargetMode="External" /><Relationship Type="http://schemas.openxmlformats.org/officeDocument/2006/relationships/hyperlink" Id="rId248" Target="https://doi.org/10.1021/es030360x" TargetMode="External" /><Relationship Type="http://schemas.openxmlformats.org/officeDocument/2006/relationships/hyperlink" Id="rId146" Target="https://doi.org/10.1021/es103992s" TargetMode="External" /><Relationship Type="http://schemas.openxmlformats.org/officeDocument/2006/relationships/hyperlink" Id="rId150" Target="https://doi.org/10.1029/2007JG000674" TargetMode="External" /><Relationship Type="http://schemas.openxmlformats.org/officeDocument/2006/relationships/hyperlink" Id="rId252" Target="https://doi.org/10.1029/2018GL080005" TargetMode="External" /><Relationship Type="http://schemas.openxmlformats.org/officeDocument/2006/relationships/hyperlink" Id="rId142" Target="https://doi.org/10.1111/ele.12897" TargetMode="External" /><Relationship Type="http://schemas.openxmlformats.org/officeDocument/2006/relationships/hyperlink" Id="rId241" Target="https://doi.org/10.1111/j.1365-2427.2011.02613.x" TargetMode="External" /><Relationship Type="http://schemas.openxmlformats.org/officeDocument/2006/relationships/hyperlink" Id="rId170" Target="https://doi.org/10.1139/cjfas-2014-0400" TargetMode="External" /><Relationship Type="http://schemas.openxmlformats.org/officeDocument/2006/relationships/hyperlink" Id="rId158" Target="https://doi.org/10.1201/9780367816377-11" TargetMode="External" /><Relationship Type="http://schemas.openxmlformats.org/officeDocument/2006/relationships/hyperlink" Id="rId187" Target="https://doi.org/10.13031/2013.15662" TargetMode="External" /><Relationship Type="http://schemas.openxmlformats.org/officeDocument/2006/relationships/hyperlink" Id="rId154" Target="https://doi.org/10.2105/SMWW.2882.113" TargetMode="External" /><Relationship Type="http://schemas.openxmlformats.org/officeDocument/2006/relationships/hyperlink" Id="rId163" Target="https://doi.org/10.2166/aqua.2008.064" TargetMode="External" /><Relationship Type="http://schemas.openxmlformats.org/officeDocument/2006/relationships/hyperlink" Id="rId185" Target="https://doi.org/10.3133/fs06700" TargetMode="External" /><Relationship Type="http://schemas.openxmlformats.org/officeDocument/2006/relationships/hyperlink" Id="rId183" Target="https://doi.org/10.4319/lo.2012.57.5.1453" TargetMode="External" /><Relationship Type="http://schemas.openxmlformats.org/officeDocument/2006/relationships/hyperlink" Id="rId224" Target="https://doi.org/10.5194/bg-10-2315-2013" TargetMode="External" /><Relationship Type="http://schemas.openxmlformats.org/officeDocument/2006/relationships/hyperlink" Id="rId167" Target="https://doi.org/IWSS-297445977-5079" TargetMode="External" /><Relationship Type="http://schemas.openxmlformats.org/officeDocument/2006/relationships/hyperlink" Id="rId203" Target="https://doi.org/doi:10.1046/j.1365-2427.1997.d01-539.x" TargetMode="External" /><Relationship Type="http://schemas.openxmlformats.org/officeDocument/2006/relationships/hyperlink" Id="rId176" Target="https://pubs.er.usgs.gov/publication/sir20075282" TargetMode="External" /><Relationship Type="http://schemas.openxmlformats.org/officeDocument/2006/relationships/hyperlink" Id="rId189" Target="https://www.canada.ca/content/dam/hc-sc/documents/programs/consultation-organic-matter-drinking-water/NOM20190129-eng.pdf" TargetMode="External" /><Relationship Type="http://schemas.openxmlformats.org/officeDocument/2006/relationships/hyperlink" Id="rId191" Target="https://www.canada.ca/content/dam/hc-sc/migration/hc-sc/ewh-semt/alt%7B\_%7Dformats/pdf/pubs/water-eau/sum%7B\_%7Dguide-res%7B\_%7Drecom/summary-table-August-15-2019-eng.pdf" TargetMode="External" /><Relationship Type="http://schemas.openxmlformats.org/officeDocument/2006/relationships/hyperlink" Id="rId193" Target="https://www.canada.ca/en/health-canada/services/healthy-living/your-health/environment/drinking-water-chlorination.html" TargetMode="External" /><Relationship Type="http://schemas.openxmlformats.org/officeDocument/2006/relationships/hyperlink" Id="rId165" Target="https://www.crd.bc.ca/project/past-capital-projects-and-initiatives/water-supply-plan" TargetMode="External" /><Relationship Type="http://schemas.openxmlformats.org/officeDocument/2006/relationships/hyperlink" Id="rId232" Target="https://www.for.gov.bc.ca/hfd/pubs/docs/lmh/Lmh66/LMH66%7B\_%7Dvolume2of2.pdf" TargetMode="External" /><Relationship Type="http://schemas.openxmlformats.org/officeDocument/2006/relationships/hyperlink" Id="rId24" Target="https://www.grad.ubc.ca/sites/default/files/doc/page/thesis_sample_prefaces.pdf" TargetMode="External" /><Relationship Type="http://schemas.openxmlformats.org/officeDocument/2006/relationships/hyperlink" Id="rId195" Target="https://www.healthlinkbc.ca/healthlinkbc-files/drinking-water-chlorination" TargetMode="External" /><Relationship Type="http://schemas.openxmlformats.org/officeDocument/2006/relationships/hyperlink" Id="rId219" Target="https://www.jstor.org/stable/1937326" TargetMode="External" /><Relationship Type="http://schemas.openxmlformats.org/officeDocument/2006/relationships/hyperlink" Id="rId237" Target="https://www.jstor.org/stable/24702986" TargetMode="External" /><Relationship Type="http://schemas.openxmlformats.org/officeDocument/2006/relationships/hyperlink" Id="rId197" Target="https://www.jstor.org/stable/40058211" TargetMode="External" /><Relationship Type="http://schemas.openxmlformats.org/officeDocument/2006/relationships/hyperlink" Id="rId205" Target="https://www.jstor.org/stable/41311011" TargetMode="External" /><Relationship Type="http://schemas.openxmlformats.org/officeDocument/2006/relationships/hyperlink" Id="rId160"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109</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Quantifying synchrony and variability in source water quality across nested catchments of a protected second growth forested water supply area</vt:lpstr>
    </vt:vector>
  </TitlesOfParts>
  <Company>CTLT</Company>
  <LinksUpToDate>false</LinksUpToDate>
  <CharactersWithSpaces>111102</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dissolved organic carbon across a second growth forested watershed on Vancouver Island, BC’ OR ‘Quantifying synchrony and variability in source water quality across nested catchments of a protected second growth forested water supply area’</dc:title>
  <dc:creator>Hannah J. McSorley</dc:creator>
  <cp:keywords/>
  <dcterms:created xsi:type="dcterms:W3CDTF">2020-07-15T19:21:27Z</dcterms:created>
  <dcterms:modified xsi:type="dcterms:W3CDTF">2020-07-15T19:21:27Z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